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A" w:rsidRDefault="00516C7A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516C7A" w:rsidRDefault="00516C7A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b/>
          <w:bCs/>
          <w:kern w:val="0"/>
          <w:sz w:val="36"/>
          <w:szCs w:val="36"/>
        </w:rPr>
        <w:t>ТАРИФА</w:t>
      </w: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0"/>
          <w:sz w:val="28"/>
          <w:szCs w:val="28"/>
        </w:rPr>
      </w:pPr>
      <w:r w:rsidRPr="0031666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ЗА ТАКСИТЕ ЗА ВОДОВЗЕМАНЕ </w:t>
      </w:r>
      <w:r w:rsidR="007358EC">
        <w:rPr>
          <w:rFonts w:ascii="Times New Roman" w:hAnsi="Times New Roman" w:cs="Times New Roman"/>
          <w:b/>
          <w:bCs/>
          <w:kern w:val="0"/>
          <w:sz w:val="28"/>
          <w:szCs w:val="28"/>
        </w:rPr>
        <w:t>НА</w:t>
      </w:r>
      <w:r w:rsidRPr="0031666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МИНЕРАЛНА ВОДА </w:t>
      </w:r>
      <w:r w:rsidR="007358EC">
        <w:rPr>
          <w:rFonts w:ascii="Times New Roman" w:hAnsi="Times New Roman" w:cs="Times New Roman"/>
          <w:b/>
          <w:bCs/>
          <w:kern w:val="0"/>
          <w:sz w:val="28"/>
          <w:szCs w:val="28"/>
        </w:rPr>
        <w:t>ОТ</w:t>
      </w:r>
      <w:r w:rsidRPr="0031666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316666">
        <w:rPr>
          <w:rFonts w:ascii="Times New Roman" w:hAnsi="Times New Roman" w:cs="Times New Roman"/>
          <w:b/>
          <w:bCs/>
          <w:caps/>
          <w:kern w:val="0"/>
          <w:sz w:val="28"/>
          <w:szCs w:val="28"/>
        </w:rPr>
        <w:t>ПЕС-1хг „Рудозем“, гр. Рудозем, обл. Смолян</w:t>
      </w: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kern w:val="0"/>
          <w:sz w:val="24"/>
          <w:szCs w:val="24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83509" w:rsidRPr="00583509">
        <w:rPr>
          <w:rFonts w:ascii="Times New Roman" w:hAnsi="Times New Roman" w:cs="Times New Roman"/>
          <w:sz w:val="24"/>
          <w:szCs w:val="24"/>
        </w:rPr>
        <w:t>приета с Решение № 234, взето с Протокол № 27 от 29.04.2025 год. на Общински съвет – 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914ED2" w:rsidRDefault="00914ED2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16C7A" w:rsidRDefault="00516C7A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2E6AC0" w:rsidRPr="00316666" w:rsidRDefault="002E6AC0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ГЛАВА ПЪРВА</w:t>
      </w: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Общи положения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Чл. 1. С Тарифата се определят размерът на таксите за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на природния 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ресурс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– минерална вода от находище на минерална вода 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общинска собственост – ПЕС-1ХГ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„Рудозем“ с утвърде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>ни запаси, съгласно Заповед № РД- 159/26.02.2025г.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на Министъра на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околната среда и водите, по реда за Закона за водите</w:t>
      </w:r>
      <w:r w:rsidR="00491CA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2. (1) Таксата се заплаща за водовземане и ползване на минерална вода по разрешени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количества минерална вода на конкретния водоползвател.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Не се заплаща такса за водовземане от обществени чешми за лични нужди на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гражданите и други случаи на общо водовземане, определени по реда и при условията на чл. 41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от Закона за водите.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3. Таксите за водовземане от минералните води се определят на база обема на минералната вода, както и целта на използване на водата.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4. (1) Отнетият при водовземането обем вода се измерва посредством отговарящи на</w:t>
      </w:r>
      <w:r w:rsidR="00F422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нормативните изи</w:t>
      </w:r>
      <w:r w:rsidR="009C75F0">
        <w:rPr>
          <w:rFonts w:ascii="Times New Roman" w:hAnsi="Times New Roman" w:cs="Times New Roman"/>
          <w:kern w:val="0"/>
          <w:sz w:val="24"/>
          <w:szCs w:val="24"/>
        </w:rPr>
        <w:t xml:space="preserve">сквания измервателни устройства, 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които</w:t>
      </w:r>
      <w:r w:rsidR="001A64C6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трябва да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са монтирани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1A64C6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        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в хоризонтално положение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от 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водо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ползвателите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поставени във водомерна шахта на достъпно и светло място</w:t>
      </w:r>
      <w:r w:rsidR="001A64C6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преди захранване на всички водочерпни устройства.</w:t>
      </w:r>
      <w:r w:rsidR="001A64C6" w:rsidRPr="00A049D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F42215" w:rsidRPr="00A049D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 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Температурата на минералната вода е определена на изход от водовземното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съоръжение и е записана в регистър или в документация от хидрогеоложко изпитание.</w:t>
      </w:r>
    </w:p>
    <w:p w:rsidR="00914ED2" w:rsidRPr="00316666" w:rsidRDefault="00914ED2" w:rsidP="00FF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5. (1) Ежегодно към 31-ви януари на следващата година титулярите на разрешителни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представят информация за изчисляване на дължимата такса по образец </w:t>
      </w:r>
      <w:r w:rsidR="00601A6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приложение № 1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), обявен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на интернет страницата на община 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>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(2) Образецът по ал. 1 съдържа данните съгласно показателите, определени 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и размерите, определени в глава втора и трета на настоящата Тарифа.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(3) В срок до един месец от получаване на данните по ал. 1, упълномощено от Кмета на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община 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>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лице, извършва проверка на информацията и съответствието й с резултатите от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собствения мониторинг, показанията на измервателните устройства 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и резултатите от извършения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през годината контрол.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(4) При несъответствие на параметрите, по които е определен размерът на таксата,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упълномощено от Кмета на общината лице извършва нарочна проверка за установяване на</w:t>
      </w:r>
    </w:p>
    <w:p w:rsidR="00A049DE" w:rsidRPr="002E6AC0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обстоятелствата и определяне размера на дължимата такса. В проверката участват представители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 общинска администр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>ция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>-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титуляра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на издаденото разрешително или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негов представител.</w:t>
      </w:r>
    </w:p>
    <w:p w:rsidR="00A049DE" w:rsidRDefault="00A049DE" w:rsidP="005C57F4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kern w:val="0"/>
          <w:sz w:val="24"/>
          <w:szCs w:val="24"/>
          <w:lang w:val="en-US"/>
        </w:rPr>
      </w:pPr>
    </w:p>
    <w:p w:rsidR="00583509" w:rsidRPr="00583509" w:rsidRDefault="00583509" w:rsidP="005C57F4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kern w:val="0"/>
          <w:sz w:val="24"/>
          <w:szCs w:val="24"/>
          <w:lang w:val="en-US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lastRenderedPageBreak/>
        <w:t>ГЛАВА ВТОРА</w:t>
      </w:r>
    </w:p>
    <w:p w:rsidR="00914ED2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Изчисляване на таксата за водовземане</w:t>
      </w:r>
    </w:p>
    <w:p w:rsidR="00316666" w:rsidRP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6. Таксата за водовземане от минерални води се определя по следната формула: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Т = Е x W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разр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>., където: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Arial" w:hAnsi="Arial" w:cs="Arial"/>
          <w:kern w:val="0"/>
          <w:sz w:val="24"/>
          <w:szCs w:val="24"/>
        </w:rPr>
        <w:t xml:space="preserve">-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 – размер на дължимата годишна такса в лева;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Arial" w:hAnsi="Arial" w:cs="Arial"/>
          <w:kern w:val="0"/>
          <w:sz w:val="24"/>
          <w:szCs w:val="24"/>
        </w:rPr>
        <w:t xml:space="preserve">-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Е – единичен размер на таксата, в зависимост от целта, за която ще бъде ползвана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черпената вода, съгласно таблицата по чл. 7 в лв./ куб. м;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Arial" w:hAnsi="Arial" w:cs="Arial"/>
          <w:kern w:val="0"/>
          <w:sz w:val="24"/>
          <w:szCs w:val="24"/>
        </w:rPr>
        <w:t xml:space="preserve">-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W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разр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>. – размер на разрешения годишен воден обем в куб. м.</w:t>
      </w:r>
    </w:p>
    <w:p w:rsidR="00A049DE" w:rsidRPr="00316666" w:rsidRDefault="00A049DE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7. Единичният размер на таксата за водовземане от минерални води се определя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съгласно следната таблица:</w:t>
      </w: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65"/>
        <w:gridCol w:w="6376"/>
        <w:gridCol w:w="2409"/>
      </w:tblGrid>
      <w:tr w:rsidR="00F23581" w:rsidTr="00F23581">
        <w:tc>
          <w:tcPr>
            <w:tcW w:w="565" w:type="dxa"/>
          </w:tcPr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</w:p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</w:t>
            </w:r>
          </w:p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ред</w:t>
            </w:r>
          </w:p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6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Цел на използване на минералната вода</w:t>
            </w:r>
          </w:p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Единичен размер на таксата в лв.</w:t>
            </w:r>
            <w:r w:rsidR="00F7380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и евро</w:t>
            </w: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за куб.м минерална вода</w:t>
            </w:r>
          </w:p>
        </w:tc>
      </w:tr>
      <w:tr w:rsidR="00F23581" w:rsidTr="00F23581">
        <w:tc>
          <w:tcPr>
            <w:tcW w:w="565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</w:t>
            </w:r>
            <w:r w:rsid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Питейно-битово водоснабдяване</w:t>
            </w:r>
          </w:p>
        </w:tc>
        <w:tc>
          <w:tcPr>
            <w:tcW w:w="2409" w:type="dxa"/>
          </w:tcPr>
          <w:p w:rsidR="00F23581" w:rsidRDefault="00F23581" w:rsidP="00F7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1,30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лв.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0,66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евро</w:t>
            </w:r>
          </w:p>
        </w:tc>
      </w:tr>
      <w:tr w:rsidR="00F23581" w:rsidTr="00F23581">
        <w:tc>
          <w:tcPr>
            <w:tcW w:w="565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Лечебни цели в специализирани болници</w:t>
            </w:r>
          </w:p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 лечение и рехабилитация</w:t>
            </w:r>
          </w:p>
        </w:tc>
        <w:tc>
          <w:tcPr>
            <w:tcW w:w="2409" w:type="dxa"/>
          </w:tcPr>
          <w:p w:rsidR="00F23581" w:rsidRDefault="00F23581" w:rsidP="00F7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1,20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лв./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0,61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евро</w:t>
            </w:r>
          </w:p>
        </w:tc>
      </w:tr>
      <w:tr w:rsidR="00F23581" w:rsidTr="00F23581">
        <w:tc>
          <w:tcPr>
            <w:tcW w:w="565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3</w:t>
            </w:r>
            <w:r w:rsid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Всички други цели</w:t>
            </w:r>
          </w:p>
        </w:tc>
        <w:tc>
          <w:tcPr>
            <w:tcW w:w="2409" w:type="dxa"/>
          </w:tcPr>
          <w:p w:rsidR="00F23581" w:rsidRDefault="00F23581" w:rsidP="00585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2,60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лв.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 1,3</w:t>
            </w:r>
            <w:r w:rsidR="00585F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евро</w:t>
            </w:r>
          </w:p>
        </w:tc>
      </w:tr>
    </w:tbl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8. (1) В случаите, в които не са монтирани водомерни устройства за разделно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измерване на използваните води или водопроводните инсталации на захранвания обект не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осигуряват разделно захранване по видове цели или при техническа невъзможност за монтиране,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поддръжка и контрол на измервателни устройства за водовземане на минерални води, за които се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дължат такси с различен размер, таксата за общото използвано количество се изчислява на базата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 най-високата стойност по Тарифата за разрешеното водовземане.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В случаите на получено уведомление от титуляра на разрешителното за повреда или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установяване на неработещо или несертифицирано измервателно устройство, за изчисляване на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таксата за водовземане през този период се вземат разрешените в разрешителното количества.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9. (1) В случаите, когато годишното ползване е над разрешения годишен обем,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титулярите на разрешителните доплащат надвишението в срока по чл. 11, ал. 1, по стойността на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таксата, съгласно параметрите в разрешителното при приложение на чл.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7 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от настоящата Тарифа.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Когато годишното ползване е над разрешения годишен обем, съгласно издаденото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разрешително, независимо от дължимото плащане по предходната алинея, титулярите на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носят административнонаказателна отговорност, съгласно Глава дванадесета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Административнонаказателна и гражданска отговорност от Закон за водите.</w:t>
      </w:r>
    </w:p>
    <w:p w:rsidR="00A049DE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(3) Прекратяване действието на разрешителното при изрично заявен отказ от титуляря на</w:t>
      </w:r>
      <w:r w:rsidR="00DD7B7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се извършва след плащане на дължимите такси по настоящата тарифа.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10. При промяна на размера на таксите в настоящата Тарифа, с решение на Общинския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съвет, се коригират таксите по издадените до момента на промяната разрешителни, а в случай на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несъгласие на титуляра – разрешителното се прекратява.</w:t>
      </w:r>
    </w:p>
    <w:p w:rsidR="00DD7B7B" w:rsidRDefault="00DD7B7B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lastRenderedPageBreak/>
        <w:t>ГЛАВА ТРЕТА</w:t>
      </w:r>
    </w:p>
    <w:p w:rsidR="00914ED2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Заплащане на таксите</w:t>
      </w:r>
    </w:p>
    <w:p w:rsidR="00F23581" w:rsidRPr="00316666" w:rsidRDefault="00F23581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11. (1) Таксите за водовземане са годишни и се заплащат от титулярите на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разрешителни не по-късно от 15-ти февруари на следващата година на касата на община 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Рудозем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или по банковата сметка на общината, публикувана на интернет страницата на община 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>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В платежните документи за превода на сумите по съответната банкова сметка, освен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задължителните реквизити, в основание за плащане задължително се изписва номера на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и периода, за който се внася таксата.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(3) Таксата за първата и последната година на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водовземането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се изчислява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пропорционално за месеците, за които е ползвана минералната вода.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12. Лицата, които са заявили издаване на разрешително и титулярите на заварените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действащи разрешителни заплащат дължимите такси независимо от етапа, на който се намира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процедурата за изменение, продължаване на срока или преиздаване на разрешителното.</w:t>
      </w:r>
    </w:p>
    <w:p w:rsidR="00F23581" w:rsidRPr="00316666" w:rsidRDefault="00F23581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ГЛАВА ЧЕТВЪРТА</w:t>
      </w:r>
    </w:p>
    <w:p w:rsidR="00914ED2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Такси за издаване на разрешителни за водовземане</w:t>
      </w:r>
    </w:p>
    <w:p w:rsidR="00F23581" w:rsidRPr="00316666" w:rsidRDefault="00F23581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13 (1) Таксата за издаване на разреш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ително за </w:t>
      </w:r>
      <w:proofErr w:type="spellStart"/>
      <w:r w:rsidR="00036171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е 250 лв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/127, 82 евро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(2) Таксата за изменение или/и допълнение на разрешителното за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е </w:t>
      </w:r>
      <w:r w:rsidR="003F7CA9">
        <w:rPr>
          <w:rFonts w:ascii="Times New Roman" w:hAnsi="Times New Roman" w:cs="Times New Roman"/>
          <w:kern w:val="0"/>
          <w:sz w:val="24"/>
          <w:szCs w:val="24"/>
        </w:rPr>
        <w:t xml:space="preserve">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130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лв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>/</w:t>
      </w:r>
      <w:r w:rsidR="003F7CA9">
        <w:rPr>
          <w:rFonts w:ascii="Times New Roman" w:hAnsi="Times New Roman" w:cs="Times New Roman"/>
          <w:kern w:val="0"/>
          <w:sz w:val="24"/>
          <w:szCs w:val="24"/>
        </w:rPr>
        <w:t>66,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4</w:t>
      </w:r>
      <w:r w:rsidR="001263B7">
        <w:rPr>
          <w:rFonts w:ascii="Times New Roman" w:hAnsi="Times New Roman" w:cs="Times New Roman"/>
          <w:kern w:val="0"/>
          <w:sz w:val="24"/>
          <w:szCs w:val="24"/>
        </w:rPr>
        <w:t>6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евро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(3) Таксата за продължаване на срока на действащо разрешително за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е </w:t>
      </w:r>
      <w:r w:rsidR="00415F2B">
        <w:rPr>
          <w:rFonts w:ascii="Times New Roman" w:hAnsi="Times New Roman" w:cs="Times New Roman"/>
          <w:kern w:val="0"/>
          <w:sz w:val="24"/>
          <w:szCs w:val="24"/>
        </w:rPr>
        <w:t xml:space="preserve">              </w:t>
      </w:r>
      <w:bookmarkStart w:id="0" w:name="_GoBack"/>
      <w:bookmarkEnd w:id="0"/>
      <w:r w:rsidRPr="00316666">
        <w:rPr>
          <w:rFonts w:ascii="Times New Roman" w:hAnsi="Times New Roman" w:cs="Times New Roman"/>
          <w:kern w:val="0"/>
          <w:sz w:val="24"/>
          <w:szCs w:val="24"/>
        </w:rPr>
        <w:t>100</w:t>
      </w:r>
      <w:r w:rsidR="00415F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F2696">
        <w:rPr>
          <w:rFonts w:ascii="Times New Roman" w:hAnsi="Times New Roman" w:cs="Times New Roman"/>
          <w:kern w:val="0"/>
          <w:sz w:val="24"/>
          <w:szCs w:val="24"/>
        </w:rPr>
        <w:t>лв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7CA9">
        <w:rPr>
          <w:rFonts w:ascii="Times New Roman" w:hAnsi="Times New Roman" w:cs="Times New Roman"/>
          <w:kern w:val="0"/>
          <w:sz w:val="24"/>
          <w:szCs w:val="24"/>
        </w:rPr>
        <w:t>/51,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A7E3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евро.</w:t>
      </w:r>
    </w:p>
    <w:p w:rsidR="00BF0576" w:rsidRPr="00316666" w:rsidRDefault="00BF057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ДОПЪЛНИТЕЛНИ РАЗПОРЕДБИ</w:t>
      </w:r>
    </w:p>
    <w:p w:rsidR="00BF0576" w:rsidRDefault="00BF057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§ 1. По смисъла на тарифата целите на ползване на водата са: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1. „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Питейно-битово водоснабдяване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” – когато отнетата вода се използва за пиене, приготвяне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 храна и други битови цели или за производство на хранителни, лекарствени или козметични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продукти или вещества, предназначени за консумация от човека, в случай че качеството на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водата може да окаже влияние върху качеството на крайните продукти;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F069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F069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Водоползване за лечебни цели</w:t>
      </w:r>
      <w:r w:rsidR="00F069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” – водоползване, когато минералните води се ползват 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заведение, регистрирано по Закона за лечебните заведения или в обект към такова заведение.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3.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Други цели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” – когато черпената вода се използва за всички други цели извън изрично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посочените в т.1 и т.2 по-горе две цели и за осигуряване и поддържане на противопожарен</w:t>
      </w:r>
    </w:p>
    <w:p w:rsidR="00BF057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резерв. В „други цели“ не се включват целите, за които Закона за водите предвижда</w:t>
      </w:r>
      <w:r w:rsidR="001D50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концесионен режим – бутилиране на натурална минерална вода и/или газирани и други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напитки, в състава на които се включва минерална вода, или извличане на ценни продукти от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минералната вода.</w:t>
      </w:r>
    </w:p>
    <w:p w:rsidR="00FA0AE7" w:rsidRPr="00316666" w:rsidRDefault="00FA0AE7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A0AE7" w:rsidRDefault="00914ED2" w:rsidP="00FA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ПРЕХОДНИ И ЗАКЛЮЧИТЕЛНИ РАЗПОРЕДБИ</w:t>
      </w:r>
    </w:p>
    <w:p w:rsidR="00FA0AE7" w:rsidRPr="00316666" w:rsidRDefault="00FA0AE7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E86AAA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</w:pPr>
      <w:r w:rsidRPr="00FA0AE7">
        <w:rPr>
          <w:rFonts w:ascii="Times New Roman" w:hAnsi="Times New Roman" w:cs="Times New Roman"/>
          <w:kern w:val="0"/>
          <w:sz w:val="24"/>
          <w:szCs w:val="24"/>
        </w:rPr>
        <w:t xml:space="preserve">§ 2. </w:t>
      </w:r>
      <w:r w:rsidR="00FA0AE7" w:rsidRPr="00FA0AE7">
        <w:rPr>
          <w:rFonts w:ascii="Times New Roman" w:hAnsi="Times New Roman" w:cs="Times New Roman"/>
          <w:bCs/>
          <w:sz w:val="24"/>
          <w:szCs w:val="24"/>
        </w:rPr>
        <w:t>ТАРИФА ЗА ТАКСИТЕ ЗА ВОДОВЗЕМАНЕ НА МИНЕРАЛНА ВОДА ОТ ПЕС-1ХГ „РУДОЗЕМ“, ГР. РУДОЗЕМ, ОБЛ. СМОЛЯН</w:t>
      </w:r>
      <w:r w:rsidR="00491CA2">
        <w:rPr>
          <w:rFonts w:ascii="Times New Roman" w:hAnsi="Times New Roman" w:cs="Times New Roman"/>
          <w:kern w:val="0"/>
          <w:sz w:val="24"/>
          <w:szCs w:val="24"/>
        </w:rPr>
        <w:t xml:space="preserve"> е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приета</w:t>
      </w:r>
      <w:r w:rsidR="00BD3583">
        <w:rPr>
          <w:rFonts w:ascii="Times New Roman" w:hAnsi="Times New Roman" w:cs="Times New Roman"/>
          <w:kern w:val="0"/>
          <w:sz w:val="24"/>
          <w:szCs w:val="24"/>
        </w:rPr>
        <w:t xml:space="preserve"> на основание </w:t>
      </w:r>
      <w:r w:rsidR="00FA0AE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§</w:t>
      </w:r>
      <w:r w:rsidR="00FA0AE7">
        <w:rPr>
          <w:color w:val="000000"/>
          <w:sz w:val="24"/>
          <w:szCs w:val="24"/>
          <w:lang w:bidi="bg-BG"/>
        </w:rPr>
        <w:t xml:space="preserve"> 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133</w:t>
      </w:r>
      <w:r w:rsidR="00FA0AE7">
        <w:rPr>
          <w:color w:val="000000"/>
          <w:sz w:val="24"/>
          <w:szCs w:val="24"/>
          <w:lang w:bidi="bg-BG"/>
        </w:rPr>
        <w:t>,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ал.9, т.1, б. „в“ от Преходните</w:t>
      </w:r>
      <w:r w:rsidR="00FA0AE7">
        <w:rPr>
          <w:color w:val="000000"/>
          <w:sz w:val="24"/>
          <w:szCs w:val="24"/>
          <w:lang w:bidi="bg-BG"/>
        </w:rPr>
        <w:t xml:space="preserve"> </w:t>
      </w:r>
      <w:r w:rsidR="00FA0AE7" w:rsidRPr="00FA0AE7">
        <w:rPr>
          <w:rFonts w:ascii="Times New Roman" w:hAnsi="Times New Roman" w:cs="Times New Roman"/>
          <w:color w:val="000000"/>
          <w:sz w:val="24"/>
          <w:szCs w:val="24"/>
          <w:lang w:bidi="bg-BG"/>
        </w:rPr>
        <w:t>и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заключителните разпоредби (ДВ, бр.61/2010 г.) на Закона за водите</w:t>
      </w:r>
      <w:r w:rsidRPr="00316666">
        <w:rPr>
          <w:rFonts w:ascii="Times New Roman" w:hAnsi="Times New Roman" w:cs="Times New Roman"/>
          <w:kern w:val="0"/>
        </w:rPr>
        <w:t>.</w:t>
      </w:r>
    </w:p>
    <w:sectPr w:rsidR="00E86AAA" w:rsidRPr="00316666" w:rsidSect="00DD7B7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265A"/>
    <w:rsid w:val="00036171"/>
    <w:rsid w:val="00113CF2"/>
    <w:rsid w:val="001263B7"/>
    <w:rsid w:val="001A0A3F"/>
    <w:rsid w:val="001A64C6"/>
    <w:rsid w:val="001D50C5"/>
    <w:rsid w:val="002A265A"/>
    <w:rsid w:val="002A7E3F"/>
    <w:rsid w:val="002C2164"/>
    <w:rsid w:val="002E6AC0"/>
    <w:rsid w:val="002F2696"/>
    <w:rsid w:val="00316666"/>
    <w:rsid w:val="00346133"/>
    <w:rsid w:val="003F7CA9"/>
    <w:rsid w:val="00415F2B"/>
    <w:rsid w:val="00491CA2"/>
    <w:rsid w:val="00516C7A"/>
    <w:rsid w:val="00583509"/>
    <w:rsid w:val="00585F2D"/>
    <w:rsid w:val="005C57F4"/>
    <w:rsid w:val="005E7EC4"/>
    <w:rsid w:val="00601A68"/>
    <w:rsid w:val="006872DC"/>
    <w:rsid w:val="007358EC"/>
    <w:rsid w:val="007B71DC"/>
    <w:rsid w:val="0085323B"/>
    <w:rsid w:val="008D660D"/>
    <w:rsid w:val="008F6CFF"/>
    <w:rsid w:val="00914ED2"/>
    <w:rsid w:val="009C75F0"/>
    <w:rsid w:val="00A049DE"/>
    <w:rsid w:val="00A14BC1"/>
    <w:rsid w:val="00A34454"/>
    <w:rsid w:val="00BD3583"/>
    <w:rsid w:val="00BF0576"/>
    <w:rsid w:val="00DD7B7B"/>
    <w:rsid w:val="00E62C4D"/>
    <w:rsid w:val="00E86AAA"/>
    <w:rsid w:val="00F069D9"/>
    <w:rsid w:val="00F23581"/>
    <w:rsid w:val="00F42215"/>
    <w:rsid w:val="00F73801"/>
    <w:rsid w:val="00FA0AE7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D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2A2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A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A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A26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A26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A265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A26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A265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A26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A26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A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A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A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A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65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 Pehlivanov</dc:creator>
  <cp:lastModifiedBy>admin</cp:lastModifiedBy>
  <cp:revision>2</cp:revision>
  <dcterms:created xsi:type="dcterms:W3CDTF">2025-06-19T11:03:00Z</dcterms:created>
  <dcterms:modified xsi:type="dcterms:W3CDTF">2025-06-19T11:03:00Z</dcterms:modified>
</cp:coreProperties>
</file>