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051C99" w:rsidRDefault="008F7DE4" w:rsidP="008F7DE4">
      <w:pPr>
        <w:spacing w:line="360" w:lineRule="auto"/>
      </w:pPr>
      <w:r>
        <w:t>Изх.№ 25-00-</w:t>
      </w:r>
      <w:r w:rsidR="0012010A">
        <w:t>53</w:t>
      </w:r>
      <w:r>
        <w:t>/22.04.2025</w:t>
      </w:r>
      <w:r w:rsidR="00D850B4">
        <w:t xml:space="preserve"> </w:t>
      </w:r>
      <w:r>
        <w:t>г.</w:t>
      </w:r>
    </w:p>
    <w:p w:rsidR="00D850B4" w:rsidRPr="008F7DE4" w:rsidRDefault="00D850B4" w:rsidP="008F7DE4">
      <w:pPr>
        <w:spacing w:line="360" w:lineRule="auto"/>
      </w:pPr>
      <w:r>
        <w:t>ОБС Вх.№ 84/22.04.2025 г.</w:t>
      </w: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bookmarkStart w:id="0" w:name="_GoBack"/>
      <w:bookmarkEnd w:id="0"/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131B86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</w:t>
      </w:r>
      <w:r w:rsidR="00131B86" w:rsidRPr="00131B86">
        <w:rPr>
          <w:bCs/>
        </w:rPr>
        <w:t>ТАРИФА ЗА ТАКСИТЕ ЗА ВОДОВЗЕМАНЕ НА МИНЕРАЛНА ВОДА ОТ ПЕС-1ХГ „РУДОЗЕМ“, ГР. РУДОЗЕМ, ОБЛ. СМОЛЯН</w:t>
      </w:r>
      <w:r w:rsidR="00AE7A7E" w:rsidRPr="00131B86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131B86" w:rsidRDefault="00AE7A7E" w:rsidP="00131B86">
      <w:pPr>
        <w:pStyle w:val="af3"/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131B86">
        <w:rPr>
          <w:rFonts w:ascii="Times New Roman" w:hAnsi="Times New Roman" w:cs="Times New Roman"/>
          <w:sz w:val="24"/>
          <w:szCs w:val="24"/>
        </w:rPr>
        <w:t xml:space="preserve">   Както е публично известно, </w:t>
      </w:r>
      <w:r w:rsidR="00131B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територията на о</w:t>
      </w:r>
      <w:r w:rsidR="00131B86" w:rsidRPr="00151ECF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бщина </w:t>
      </w:r>
      <w:r w:rsidR="00131B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Рудозем</w:t>
      </w:r>
      <w:r w:rsidR="00131B86" w:rsidRPr="00151ECF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131B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съществува </w:t>
      </w:r>
      <w:r w:rsidR="00131B86" w:rsidRPr="00316666">
        <w:rPr>
          <w:rFonts w:ascii="Times New Roman" w:hAnsi="Times New Roman" w:cs="Times New Roman"/>
          <w:sz w:val="24"/>
          <w:szCs w:val="24"/>
        </w:rPr>
        <w:t xml:space="preserve">природния </w:t>
      </w:r>
      <w:r w:rsidR="00131B86">
        <w:rPr>
          <w:rFonts w:ascii="Times New Roman" w:hAnsi="Times New Roman" w:cs="Times New Roman"/>
          <w:sz w:val="24"/>
          <w:szCs w:val="24"/>
        </w:rPr>
        <w:t xml:space="preserve">  </w:t>
      </w:r>
      <w:r w:rsidR="00131B86" w:rsidRPr="00316666">
        <w:rPr>
          <w:rFonts w:ascii="Times New Roman" w:hAnsi="Times New Roman" w:cs="Times New Roman"/>
          <w:sz w:val="24"/>
          <w:szCs w:val="24"/>
        </w:rPr>
        <w:t>ресурс</w:t>
      </w:r>
      <w:r w:rsidR="00131B86">
        <w:rPr>
          <w:rFonts w:ascii="Times New Roman" w:hAnsi="Times New Roman" w:cs="Times New Roman"/>
          <w:sz w:val="24"/>
          <w:szCs w:val="24"/>
        </w:rPr>
        <w:t xml:space="preserve"> </w:t>
      </w:r>
      <w:r w:rsidR="00131B86" w:rsidRPr="00316666">
        <w:rPr>
          <w:rFonts w:ascii="Times New Roman" w:hAnsi="Times New Roman" w:cs="Times New Roman"/>
          <w:sz w:val="24"/>
          <w:szCs w:val="24"/>
        </w:rPr>
        <w:t xml:space="preserve">– минерална вода от находище на минерална вода </w:t>
      </w:r>
      <w:r w:rsidR="00131B86">
        <w:rPr>
          <w:rFonts w:ascii="Times New Roman" w:hAnsi="Times New Roman" w:cs="Times New Roman"/>
          <w:sz w:val="24"/>
          <w:szCs w:val="24"/>
        </w:rPr>
        <w:t>общинска собственост – ПЕС-1ХГ</w:t>
      </w:r>
      <w:r w:rsidR="00131B86" w:rsidRPr="00316666">
        <w:rPr>
          <w:rFonts w:ascii="Times New Roman" w:hAnsi="Times New Roman" w:cs="Times New Roman"/>
          <w:sz w:val="24"/>
          <w:szCs w:val="24"/>
        </w:rPr>
        <w:t>„Рудозем“ с утвърде</w:t>
      </w:r>
      <w:r w:rsidR="00131B86">
        <w:rPr>
          <w:rFonts w:ascii="Times New Roman" w:hAnsi="Times New Roman" w:cs="Times New Roman"/>
          <w:sz w:val="24"/>
          <w:szCs w:val="24"/>
        </w:rPr>
        <w:t>ни запаси, съгласно Заповед № РД- 159/26.02.2025г.</w:t>
      </w:r>
      <w:r w:rsidR="00131B86" w:rsidRPr="00316666">
        <w:rPr>
          <w:rFonts w:ascii="Times New Roman" w:hAnsi="Times New Roman" w:cs="Times New Roman"/>
          <w:sz w:val="24"/>
          <w:szCs w:val="24"/>
        </w:rPr>
        <w:t xml:space="preserve"> на Министъра на</w:t>
      </w:r>
      <w:r w:rsidR="00131B86">
        <w:rPr>
          <w:rFonts w:ascii="Times New Roman" w:hAnsi="Times New Roman" w:cs="Times New Roman"/>
          <w:sz w:val="24"/>
          <w:szCs w:val="24"/>
        </w:rPr>
        <w:t xml:space="preserve"> </w:t>
      </w:r>
      <w:r w:rsidR="00131B86" w:rsidRPr="00316666">
        <w:rPr>
          <w:rFonts w:ascii="Times New Roman" w:hAnsi="Times New Roman" w:cs="Times New Roman"/>
          <w:sz w:val="24"/>
          <w:szCs w:val="24"/>
        </w:rPr>
        <w:t>околната среда и водите, по реда за Закона за водите</w:t>
      </w:r>
      <w:r w:rsidR="00131B86">
        <w:rPr>
          <w:rFonts w:ascii="Times New Roman" w:hAnsi="Times New Roman" w:cs="Times New Roman"/>
          <w:sz w:val="24"/>
          <w:szCs w:val="24"/>
        </w:rPr>
        <w:t>.</w:t>
      </w:r>
    </w:p>
    <w:p w:rsidR="00131B86" w:rsidRPr="00AF3E40" w:rsidRDefault="00131B86" w:rsidP="00131B86">
      <w:pPr>
        <w:pStyle w:val="21"/>
        <w:shd w:val="clear" w:color="auto" w:fill="auto"/>
        <w:spacing w:line="360" w:lineRule="auto"/>
        <w:jc w:val="both"/>
      </w:pPr>
      <w:r>
        <w:rPr>
          <w:sz w:val="24"/>
          <w:szCs w:val="24"/>
        </w:rPr>
        <w:t xml:space="preserve">      </w:t>
      </w:r>
      <w:r w:rsidRPr="00AF3E40">
        <w:rPr>
          <w:color w:val="000000"/>
          <w:sz w:val="24"/>
          <w:szCs w:val="24"/>
          <w:lang w:bidi="bg-BG"/>
        </w:rPr>
        <w:t>Съгласно §</w:t>
      </w:r>
      <w:r>
        <w:rPr>
          <w:color w:val="000000"/>
          <w:sz w:val="24"/>
          <w:szCs w:val="24"/>
          <w:lang w:bidi="bg-BG"/>
        </w:rPr>
        <w:t xml:space="preserve"> </w:t>
      </w:r>
      <w:r w:rsidRPr="00AF3E40">
        <w:rPr>
          <w:color w:val="000000"/>
          <w:sz w:val="24"/>
          <w:szCs w:val="24"/>
          <w:lang w:bidi="bg-BG"/>
        </w:rPr>
        <w:t>133</w:t>
      </w:r>
      <w:r>
        <w:rPr>
          <w:color w:val="000000"/>
          <w:sz w:val="24"/>
          <w:szCs w:val="24"/>
          <w:lang w:bidi="bg-BG"/>
        </w:rPr>
        <w:t>,</w:t>
      </w:r>
      <w:r w:rsidRPr="00AF3E40">
        <w:rPr>
          <w:color w:val="000000"/>
          <w:sz w:val="24"/>
          <w:szCs w:val="24"/>
          <w:lang w:bidi="bg-BG"/>
        </w:rPr>
        <w:t xml:space="preserve"> ал.9, т.1, б. „в“ от </w:t>
      </w:r>
      <w:proofErr w:type="spellStart"/>
      <w:r w:rsidRPr="00AF3E40">
        <w:rPr>
          <w:color w:val="000000"/>
          <w:sz w:val="24"/>
          <w:szCs w:val="24"/>
          <w:lang w:bidi="bg-BG"/>
        </w:rPr>
        <w:t>от</w:t>
      </w:r>
      <w:proofErr w:type="spellEnd"/>
      <w:r w:rsidRPr="00AF3E40">
        <w:rPr>
          <w:color w:val="000000"/>
          <w:sz w:val="24"/>
          <w:szCs w:val="24"/>
          <w:lang w:bidi="bg-BG"/>
        </w:rPr>
        <w:t xml:space="preserve"> Преходните</w:t>
      </w:r>
      <w:r>
        <w:rPr>
          <w:color w:val="000000"/>
          <w:sz w:val="24"/>
          <w:szCs w:val="24"/>
          <w:lang w:bidi="bg-BG"/>
        </w:rPr>
        <w:t xml:space="preserve"> и</w:t>
      </w:r>
      <w:r w:rsidRPr="00AF3E40">
        <w:rPr>
          <w:color w:val="000000"/>
          <w:sz w:val="24"/>
          <w:szCs w:val="24"/>
          <w:lang w:bidi="bg-BG"/>
        </w:rPr>
        <w:t xml:space="preserve"> заключителните разпоредби (ДВ, бр.61/2010 г.) на Закона за водите</w:t>
      </w:r>
      <w:r>
        <w:rPr>
          <w:color w:val="000000"/>
          <w:sz w:val="24"/>
          <w:szCs w:val="24"/>
          <w:lang w:bidi="bg-BG"/>
        </w:rPr>
        <w:t>,</w:t>
      </w:r>
      <w:r w:rsidRPr="00AF3E40">
        <w:rPr>
          <w:color w:val="000000"/>
          <w:sz w:val="24"/>
          <w:szCs w:val="24"/>
          <w:lang w:bidi="bg-BG"/>
        </w:rPr>
        <w:t xml:space="preserve"> Общинския съвет трябва да определи дали минералната вода от находището да бъде предоставяна за ползване безвъзмездно, или след заплащане на такса, определена с Тарифа, приета от общинския съвет.</w:t>
      </w:r>
    </w:p>
    <w:p w:rsidR="00131B86" w:rsidRPr="00AF3E40" w:rsidRDefault="00131B86" w:rsidP="00131B86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Pr="00AF3E40">
        <w:rPr>
          <w:color w:val="000000"/>
          <w:sz w:val="24"/>
          <w:szCs w:val="24"/>
          <w:lang w:bidi="bg-BG"/>
        </w:rPr>
        <w:t>Съгласно чл.52, ал.1, т.3, буква „а“ и §</w:t>
      </w:r>
      <w:r>
        <w:rPr>
          <w:color w:val="000000"/>
          <w:sz w:val="24"/>
          <w:szCs w:val="24"/>
          <w:lang w:bidi="bg-BG"/>
        </w:rPr>
        <w:t xml:space="preserve"> </w:t>
      </w:r>
      <w:r w:rsidRPr="00AF3E40">
        <w:rPr>
          <w:color w:val="000000"/>
          <w:sz w:val="24"/>
          <w:szCs w:val="24"/>
          <w:lang w:bidi="bg-BG"/>
        </w:rPr>
        <w:t xml:space="preserve">133, ал.9, т.1 и ал.10 от Закона за водите, предоставянето на права за </w:t>
      </w:r>
      <w:proofErr w:type="spellStart"/>
      <w:r w:rsidRPr="00AF3E40">
        <w:rPr>
          <w:color w:val="000000"/>
          <w:sz w:val="24"/>
          <w:szCs w:val="24"/>
          <w:lang w:bidi="bg-BG"/>
        </w:rPr>
        <w:t>водовземане</w:t>
      </w:r>
      <w:proofErr w:type="spellEnd"/>
      <w:r w:rsidRPr="00AF3E40">
        <w:rPr>
          <w:color w:val="000000"/>
          <w:sz w:val="24"/>
          <w:szCs w:val="24"/>
          <w:lang w:bidi="bg-BG"/>
        </w:rPr>
        <w:t xml:space="preserve"> се извършва на основание издадено от кмета на Община </w:t>
      </w:r>
      <w:r>
        <w:rPr>
          <w:color w:val="000000"/>
          <w:sz w:val="24"/>
          <w:szCs w:val="24"/>
          <w:lang w:bidi="bg-BG"/>
        </w:rPr>
        <w:t>Рудозем</w:t>
      </w:r>
      <w:r w:rsidRPr="00AF3E40">
        <w:rPr>
          <w:color w:val="000000"/>
          <w:sz w:val="24"/>
          <w:szCs w:val="24"/>
          <w:lang w:bidi="bg-BG"/>
        </w:rPr>
        <w:t xml:space="preserve"> разрешително за </w:t>
      </w:r>
      <w:proofErr w:type="spellStart"/>
      <w:r w:rsidRPr="00AF3E40">
        <w:rPr>
          <w:color w:val="000000"/>
          <w:sz w:val="24"/>
          <w:szCs w:val="24"/>
          <w:lang w:bidi="bg-BG"/>
        </w:rPr>
        <w:t>водовземане</w:t>
      </w:r>
      <w:proofErr w:type="spellEnd"/>
      <w:r w:rsidRPr="00AF3E40">
        <w:rPr>
          <w:color w:val="000000"/>
          <w:sz w:val="24"/>
          <w:szCs w:val="24"/>
          <w:lang w:bidi="bg-BG"/>
        </w:rPr>
        <w:t xml:space="preserve"> и платена такса за </w:t>
      </w:r>
      <w:proofErr w:type="spellStart"/>
      <w:r w:rsidRPr="00AF3E40">
        <w:rPr>
          <w:color w:val="000000"/>
          <w:sz w:val="24"/>
          <w:szCs w:val="24"/>
          <w:lang w:bidi="bg-BG"/>
        </w:rPr>
        <w:t>водовземане</w:t>
      </w:r>
      <w:proofErr w:type="spellEnd"/>
      <w:r w:rsidRPr="00AF3E40">
        <w:rPr>
          <w:color w:val="000000"/>
          <w:sz w:val="24"/>
          <w:szCs w:val="24"/>
          <w:lang w:bidi="bg-BG"/>
        </w:rPr>
        <w:t>.</w:t>
      </w:r>
    </w:p>
    <w:p w:rsidR="00120F3C" w:rsidRDefault="00131B86" w:rsidP="00131B86">
      <w:pPr>
        <w:pStyle w:val="21"/>
        <w:shd w:val="clear" w:color="auto" w:fill="auto"/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Pr="00AF3E40">
        <w:rPr>
          <w:color w:val="000000"/>
          <w:sz w:val="24"/>
          <w:szCs w:val="24"/>
          <w:lang w:bidi="bg-BG"/>
        </w:rPr>
        <w:t xml:space="preserve">Таксите за </w:t>
      </w:r>
      <w:proofErr w:type="spellStart"/>
      <w:r w:rsidRPr="00AF3E40">
        <w:rPr>
          <w:color w:val="000000"/>
          <w:sz w:val="24"/>
          <w:szCs w:val="24"/>
          <w:lang w:bidi="bg-BG"/>
        </w:rPr>
        <w:t>водовземане</w:t>
      </w:r>
      <w:proofErr w:type="spellEnd"/>
      <w:r w:rsidRPr="00AF3E40">
        <w:rPr>
          <w:color w:val="000000"/>
          <w:sz w:val="24"/>
          <w:szCs w:val="24"/>
          <w:lang w:bidi="bg-BG"/>
        </w:rPr>
        <w:t xml:space="preserve"> на минерална вода от находището на територията на </w:t>
      </w:r>
      <w:r>
        <w:rPr>
          <w:color w:val="000000"/>
          <w:sz w:val="24"/>
          <w:szCs w:val="24"/>
          <w:lang w:bidi="bg-BG"/>
        </w:rPr>
        <w:t>о</w:t>
      </w:r>
      <w:r w:rsidRPr="00AF3E40">
        <w:rPr>
          <w:color w:val="000000"/>
          <w:sz w:val="24"/>
          <w:szCs w:val="24"/>
          <w:lang w:bidi="bg-BG"/>
        </w:rPr>
        <w:t xml:space="preserve">бщина </w:t>
      </w:r>
      <w:r>
        <w:rPr>
          <w:color w:val="000000"/>
          <w:sz w:val="24"/>
          <w:szCs w:val="24"/>
          <w:lang w:bidi="bg-BG"/>
        </w:rPr>
        <w:t>Рудозем</w:t>
      </w:r>
      <w:r w:rsidRPr="00AF3E40">
        <w:rPr>
          <w:color w:val="000000"/>
          <w:sz w:val="24"/>
          <w:szCs w:val="24"/>
          <w:lang w:bidi="bg-BG"/>
        </w:rPr>
        <w:t xml:space="preserve"> трябва да бъдат посочени в Тарифа, където са установени и конкретните цели, за които минералната вода може да се предоставя за ползване. </w:t>
      </w:r>
    </w:p>
    <w:p w:rsidR="00120F3C" w:rsidRDefault="00120F3C" w:rsidP="00131B86">
      <w:pPr>
        <w:pStyle w:val="21"/>
        <w:shd w:val="clear" w:color="auto" w:fill="auto"/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</w:p>
    <w:p w:rsidR="00131B86" w:rsidRPr="00AF3E40" w:rsidRDefault="00120F3C" w:rsidP="00131B86">
      <w:pPr>
        <w:pStyle w:val="21"/>
        <w:shd w:val="clear" w:color="auto" w:fill="auto"/>
        <w:tabs>
          <w:tab w:val="left" w:pos="284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lastRenderedPageBreak/>
        <w:t xml:space="preserve">    </w:t>
      </w:r>
      <w:r w:rsidR="00131B86" w:rsidRPr="00AF3E40">
        <w:rPr>
          <w:color w:val="000000"/>
          <w:sz w:val="24"/>
          <w:szCs w:val="24"/>
          <w:lang w:bidi="bg-BG"/>
        </w:rPr>
        <w:t>Пълноценното усвояване на природния ресурс, при съобразяване на наличния дебит и на характеристиките на минералните води, налагат приемането на настоящия проект на Тарифа.</w:t>
      </w:r>
    </w:p>
    <w:p w:rsidR="00051C99" w:rsidRDefault="00131B86" w:rsidP="00131B86">
      <w:pPr>
        <w:spacing w:line="360" w:lineRule="auto"/>
        <w:jc w:val="both"/>
      </w:pPr>
      <w:r>
        <w:rPr>
          <w:color w:val="000000"/>
          <w:lang w:bidi="bg-BG"/>
        </w:rPr>
        <w:t xml:space="preserve">     </w:t>
      </w:r>
      <w:r w:rsidRPr="00AF3E40">
        <w:rPr>
          <w:color w:val="000000"/>
          <w:lang w:bidi="bg-BG"/>
        </w:rPr>
        <w:t xml:space="preserve">Принципите, на които се основават таксите в проекта на Тарифа не са свързани с административни услуги, предоставяни от администрацията, а са регламентирани в </w:t>
      </w:r>
      <w:r>
        <w:rPr>
          <w:color w:val="000000"/>
          <w:lang w:bidi="bg-BG"/>
        </w:rPr>
        <w:t xml:space="preserve">        </w:t>
      </w:r>
      <w:r w:rsidRPr="00AF3E40">
        <w:rPr>
          <w:color w:val="000000"/>
          <w:lang w:bidi="bg-BG"/>
        </w:rPr>
        <w:t xml:space="preserve">чл.192, ал.1 от Закона за водите, както следва: възстановяване на разходите за водните услуги, включително на тези за околната среда и за ресурса, както и принципа замърсителят плаща. </w:t>
      </w:r>
      <w:r w:rsidR="0019663C">
        <w:rPr>
          <w:color w:val="000000"/>
          <w:lang w:bidi="bg-BG"/>
        </w:rPr>
        <w:t xml:space="preserve">   </w:t>
      </w:r>
      <w:r w:rsidRPr="00AF3E40">
        <w:rPr>
          <w:color w:val="000000"/>
          <w:lang w:bidi="bg-BG"/>
        </w:rPr>
        <w:t>С разпоредбата на чл.192 от Закона за водите се прилагат</w:t>
      </w:r>
      <w:r w:rsidRPr="00CC3DAB">
        <w:rPr>
          <w:color w:val="000000"/>
          <w:lang w:bidi="bg-BG"/>
        </w:rPr>
        <w:t xml:space="preserve"> </w:t>
      </w:r>
      <w:r w:rsidRPr="00AF3E40">
        <w:rPr>
          <w:color w:val="000000"/>
          <w:lang w:bidi="bg-BG"/>
        </w:rPr>
        <w:t>изискванията на Директива 2000/60/ЕС установяваща рамката за действията на Общността в областта на политиката за водите.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C63FFD" w:rsidRDefault="00051C99" w:rsidP="00C63FFD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    </w:t>
      </w:r>
      <w:r w:rsidR="00AE7A7E">
        <w:t xml:space="preserve">   </w:t>
      </w:r>
      <w:r w:rsidR="00C86EDD">
        <w:t xml:space="preserve"> </w:t>
      </w:r>
      <w:r w:rsidRPr="00072E7F">
        <w:t>Им</w:t>
      </w:r>
      <w:r w:rsidR="004E5B4A">
        <w:t>айки предвид изложените мотиви,</w:t>
      </w:r>
      <w:r w:rsidRPr="00072E7F">
        <w:t xml:space="preserve"> на основание</w:t>
      </w:r>
      <w:r w:rsidRPr="00AB0701">
        <w:t xml:space="preserve"> </w:t>
      </w:r>
      <w:r w:rsidR="00DB507F">
        <w:t>чл. 21, ал. 1, т.</w:t>
      </w:r>
      <w:r w:rsidR="0073630C">
        <w:t xml:space="preserve"> </w:t>
      </w:r>
      <w:r w:rsidR="00DB507F">
        <w:t>7 и ал.</w:t>
      </w:r>
      <w:r w:rsidR="0073630C">
        <w:t xml:space="preserve"> </w:t>
      </w:r>
      <w:r w:rsidR="00DB507F">
        <w:t>2</w:t>
      </w:r>
      <w:r>
        <w:t xml:space="preserve"> </w:t>
      </w:r>
      <w:r w:rsidRPr="00072E7F">
        <w:t xml:space="preserve">от </w:t>
      </w:r>
      <w:r>
        <w:t>ЗМСМА</w:t>
      </w:r>
      <w:r w:rsidRPr="00072E7F">
        <w:t>,</w:t>
      </w:r>
      <w:r w:rsidR="00DB507F">
        <w:t xml:space="preserve"> </w:t>
      </w:r>
      <w:r w:rsidR="0073630C">
        <w:t xml:space="preserve">  </w:t>
      </w:r>
      <w:r w:rsidR="00C63FFD">
        <w:t xml:space="preserve">  </w:t>
      </w:r>
      <w:r w:rsidR="00C63FFD" w:rsidRPr="00C63FFD">
        <w:rPr>
          <w:rFonts w:eastAsiaTheme="minorHAnsi"/>
          <w:lang w:eastAsia="en-US"/>
        </w:rPr>
        <w:t>§ 133, ал.9, т.1, б. „в“ и ал.10, т.1 от ПЗР на ЗИД на Закона за водите</w:t>
      </w:r>
      <w:r w:rsidR="0073630C">
        <w:t>,</w:t>
      </w:r>
      <w:r>
        <w:t xml:space="preserve"> </w:t>
      </w:r>
      <w:r w:rsidRPr="00072E7F">
        <w:t>предлагам на Общински съвет-Рудозем да разгледа, обсъди и да приеме следното</w:t>
      </w:r>
    </w:p>
    <w:p w:rsidR="00131B86" w:rsidRPr="007D2633" w:rsidRDefault="00131B86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r w:rsidR="00131B86" w:rsidRPr="00131B86">
        <w:rPr>
          <w:bCs/>
        </w:rPr>
        <w:t>ТАРИФА ЗА ТАКСИТЕ ЗА ВОДОВЗЕМАНЕ НА МИНЕРАЛНА ВОДА ОТ ПЕС-1ХГ „РУДОЗЕМ“, ГР. РУДОЗЕМ, ОБЛ. СМОЛЯН</w:t>
      </w:r>
      <w:r>
        <w:t xml:space="preserve">, </w:t>
      </w:r>
      <w:r w:rsidR="00D906AB">
        <w:t>както следва: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16666">
        <w:rPr>
          <w:b/>
          <w:bCs/>
          <w:sz w:val="36"/>
          <w:szCs w:val="36"/>
        </w:rPr>
        <w:t>ТАРИФА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316666">
        <w:rPr>
          <w:b/>
          <w:bCs/>
          <w:sz w:val="28"/>
          <w:szCs w:val="28"/>
        </w:rPr>
        <w:t xml:space="preserve">ЗА ТАКСИТЕ ЗА ВОДОВЗЕМАНЕ </w:t>
      </w:r>
      <w:r>
        <w:rPr>
          <w:b/>
          <w:bCs/>
          <w:sz w:val="28"/>
          <w:szCs w:val="28"/>
        </w:rPr>
        <w:t>НА</w:t>
      </w:r>
      <w:r w:rsidRPr="00316666">
        <w:rPr>
          <w:b/>
          <w:bCs/>
          <w:sz w:val="28"/>
          <w:szCs w:val="28"/>
        </w:rPr>
        <w:t xml:space="preserve"> МИНЕРАЛНА ВОДА </w:t>
      </w:r>
      <w:r>
        <w:rPr>
          <w:b/>
          <w:bCs/>
          <w:sz w:val="28"/>
          <w:szCs w:val="28"/>
        </w:rPr>
        <w:t>ОТ</w:t>
      </w:r>
      <w:r w:rsidRPr="00316666">
        <w:rPr>
          <w:b/>
          <w:bCs/>
          <w:sz w:val="28"/>
          <w:szCs w:val="28"/>
        </w:rPr>
        <w:t xml:space="preserve"> </w:t>
      </w:r>
      <w:r w:rsidRPr="00316666">
        <w:rPr>
          <w:b/>
          <w:bCs/>
          <w:caps/>
          <w:sz w:val="28"/>
          <w:szCs w:val="28"/>
        </w:rPr>
        <w:t>ПЕС-1хг „Рудозем“, гр. Рудозем, обл. Смолян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rPr>
          <w:b/>
          <w:bCs/>
          <w:cap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(приета с Решение № ………., взето с Про</w:t>
      </w:r>
      <w:r>
        <w:t xml:space="preserve">токол № ……… от ……………….. год. на </w:t>
      </w:r>
      <w:r w:rsidRPr="00316666">
        <w:t>Общински съвет – Рудозем)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ГЛАВА ПЪРВА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Общи положения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1. С Тарифата се определят размерът на таксите за </w:t>
      </w:r>
      <w:proofErr w:type="spellStart"/>
      <w:r w:rsidRPr="00316666">
        <w:t>водовземане</w:t>
      </w:r>
      <w:proofErr w:type="spellEnd"/>
      <w:r w:rsidRPr="00316666">
        <w:t xml:space="preserve"> на природния </w:t>
      </w:r>
      <w:r>
        <w:t xml:space="preserve"> </w:t>
      </w:r>
      <w:r w:rsidRPr="00316666">
        <w:t>ресурс</w:t>
      </w:r>
      <w:r>
        <w:t xml:space="preserve"> </w:t>
      </w:r>
      <w:r w:rsidRPr="00316666">
        <w:t xml:space="preserve">– минерална вода от находище на минерална вода </w:t>
      </w:r>
      <w:r>
        <w:t xml:space="preserve"> общинска собственост – ПЕС-1ХГ</w:t>
      </w:r>
      <w:r w:rsidRPr="00316666">
        <w:t>„Рудозем“ с утвърде</w:t>
      </w:r>
      <w:r>
        <w:t>ни запаси, съгласно Заповед № РД- 159/26.02.2025г.</w:t>
      </w:r>
      <w:r w:rsidRPr="00316666">
        <w:t xml:space="preserve"> на Министъра на</w:t>
      </w:r>
      <w:r>
        <w:t xml:space="preserve"> </w:t>
      </w:r>
      <w:r w:rsidRPr="00316666">
        <w:t>околната среда и водите, по реда за Закона за водите</w:t>
      </w:r>
      <w:r>
        <w:t>.</w:t>
      </w:r>
    </w:p>
    <w:p w:rsidR="00E32E4B" w:rsidRPr="00316666" w:rsidRDefault="00E32E4B" w:rsidP="00444523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2. (1) Таксата се заплаща за </w:t>
      </w:r>
      <w:proofErr w:type="spellStart"/>
      <w:r w:rsidRPr="00316666">
        <w:t>водовземане</w:t>
      </w:r>
      <w:proofErr w:type="spellEnd"/>
      <w:r w:rsidRPr="00316666">
        <w:t xml:space="preserve"> и ползване на минерална вода по разрешени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количества минерална вода на конкретния </w:t>
      </w:r>
      <w:proofErr w:type="spellStart"/>
      <w:r w:rsidRPr="00316666">
        <w:t>водоползвател</w:t>
      </w:r>
      <w:proofErr w:type="spellEnd"/>
      <w:r w:rsidRPr="00316666">
        <w:t>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lastRenderedPageBreak/>
        <w:t xml:space="preserve">(2) Не се заплаща такса за </w:t>
      </w:r>
      <w:proofErr w:type="spellStart"/>
      <w:r w:rsidRPr="00316666">
        <w:t>водовземане</w:t>
      </w:r>
      <w:proofErr w:type="spellEnd"/>
      <w:r w:rsidRPr="00316666">
        <w:t xml:space="preserve"> от обществени чешми за лични нужди на</w:t>
      </w:r>
      <w:r>
        <w:t xml:space="preserve"> </w:t>
      </w:r>
      <w:r w:rsidRPr="00316666">
        <w:t xml:space="preserve">гражданите и други случаи на общо </w:t>
      </w:r>
      <w:proofErr w:type="spellStart"/>
      <w:r w:rsidRPr="00316666">
        <w:t>водовземане</w:t>
      </w:r>
      <w:proofErr w:type="spellEnd"/>
      <w:r w:rsidRPr="00316666">
        <w:t>, определени по реда и при условията на чл. 41</w:t>
      </w:r>
      <w:r>
        <w:t xml:space="preserve"> </w:t>
      </w:r>
      <w:r w:rsidRPr="00316666">
        <w:t>от Закона за водите.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3. Таксите за </w:t>
      </w:r>
      <w:proofErr w:type="spellStart"/>
      <w:r w:rsidRPr="00316666">
        <w:t>водовземане</w:t>
      </w:r>
      <w:proofErr w:type="spellEnd"/>
      <w:r w:rsidRPr="00316666">
        <w:t xml:space="preserve"> от минералните води се определят на база обема на минералната вода, както и целта на използване на водата.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4. (1) Отнетият при </w:t>
      </w:r>
      <w:proofErr w:type="spellStart"/>
      <w:r w:rsidRPr="00316666">
        <w:t>водовземането</w:t>
      </w:r>
      <w:proofErr w:type="spellEnd"/>
      <w:r w:rsidRPr="00316666">
        <w:t xml:space="preserve"> обем вода се измерва посредством отговарящи на</w:t>
      </w:r>
      <w:r>
        <w:t xml:space="preserve"> </w:t>
      </w:r>
      <w:r w:rsidRPr="00316666">
        <w:t>нормативните изи</w:t>
      </w:r>
      <w:r>
        <w:t xml:space="preserve">сквания измервателни устройства, </w:t>
      </w:r>
      <w:r w:rsidRPr="00601A68">
        <w:rPr>
          <w:color w:val="000000" w:themeColor="text1"/>
        </w:rPr>
        <w:t xml:space="preserve">които трябва да са монтирани                     в хоризонтално положение от </w:t>
      </w:r>
      <w:proofErr w:type="spellStart"/>
      <w:r w:rsidRPr="00601A68">
        <w:rPr>
          <w:color w:val="000000" w:themeColor="text1"/>
        </w:rPr>
        <w:t>водоползвателите</w:t>
      </w:r>
      <w:proofErr w:type="spellEnd"/>
      <w:r w:rsidRPr="00601A68">
        <w:rPr>
          <w:color w:val="000000" w:themeColor="text1"/>
        </w:rPr>
        <w:t xml:space="preserve">, поставени във водомерна шахта на достъпно и светло място, преди захранване на всички </w:t>
      </w:r>
      <w:proofErr w:type="spellStart"/>
      <w:r w:rsidRPr="00601A68">
        <w:rPr>
          <w:color w:val="000000" w:themeColor="text1"/>
        </w:rPr>
        <w:t>водочерпни</w:t>
      </w:r>
      <w:proofErr w:type="spellEnd"/>
      <w:r w:rsidRPr="00601A68">
        <w:rPr>
          <w:color w:val="000000" w:themeColor="text1"/>
        </w:rPr>
        <w:t xml:space="preserve"> устройства.</w:t>
      </w:r>
      <w:r w:rsidRPr="00A049DE">
        <w:rPr>
          <w:color w:val="FF0000"/>
        </w:rPr>
        <w:t xml:space="preserve">   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(2) Температурата на минералната вода е определена на изход от </w:t>
      </w:r>
      <w:proofErr w:type="spellStart"/>
      <w:r w:rsidRPr="00316666">
        <w:t>водовземното</w:t>
      </w:r>
      <w:proofErr w:type="spellEnd"/>
      <w:r>
        <w:t xml:space="preserve"> </w:t>
      </w:r>
      <w:r w:rsidRPr="00316666">
        <w:t>съоръжение и е записана в регистър или в документация от хидрогеоложко изпитание.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Чл. 5. (1) Ежегодно към 31-ви януари на следващата година титулярите на разрешителни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представят информация за изчисляване на дължимата такса по образец </w:t>
      </w:r>
      <w:r>
        <w:t xml:space="preserve">                                  </w:t>
      </w:r>
      <w:r w:rsidR="00444523">
        <w:t xml:space="preserve">       </w:t>
      </w:r>
      <w:r>
        <w:t xml:space="preserve"> </w:t>
      </w:r>
      <w:r w:rsidRPr="00316666">
        <w:t>(</w:t>
      </w:r>
      <w:r>
        <w:t xml:space="preserve"> </w:t>
      </w:r>
      <w:r w:rsidRPr="00316666">
        <w:t>приложение № 1</w:t>
      </w:r>
      <w:r>
        <w:t xml:space="preserve"> </w:t>
      </w:r>
      <w:r w:rsidRPr="00316666">
        <w:t>), обявен</w:t>
      </w:r>
      <w:r>
        <w:t xml:space="preserve"> </w:t>
      </w:r>
      <w:r w:rsidRPr="00316666">
        <w:t xml:space="preserve">на интернет страницата на община </w:t>
      </w:r>
      <w:r>
        <w:t>Рудозем</w:t>
      </w:r>
      <w:r w:rsidRPr="00316666">
        <w:t>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(2) Образецът по ал. 1 съдържа данните съгласно показателите, определени </w:t>
      </w:r>
      <w:r>
        <w:t xml:space="preserve">                                    </w:t>
      </w:r>
      <w:r w:rsidRPr="00316666">
        <w:t>в</w:t>
      </w:r>
      <w:r>
        <w:t xml:space="preserve"> </w:t>
      </w:r>
      <w:r w:rsidRPr="00316666">
        <w:t>разрешителното и размерите, определени в глава втора и трета на настоящата Тарифа.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(3) В срок до един месец от получаване на данните по ал. 1, упълномощено от Кмета на</w:t>
      </w:r>
      <w:r>
        <w:t xml:space="preserve"> </w:t>
      </w:r>
      <w:r w:rsidRPr="00316666">
        <w:t xml:space="preserve">община </w:t>
      </w:r>
      <w:r>
        <w:t>Рудозем</w:t>
      </w:r>
      <w:r w:rsidRPr="00316666">
        <w:t xml:space="preserve"> лице, извършва проверка на информацията и съответствието й с резултатите от</w:t>
      </w:r>
      <w:r>
        <w:t xml:space="preserve"> </w:t>
      </w:r>
      <w:r w:rsidRPr="00316666">
        <w:t>собствения мониторинг, показанията на измервателните устройства и резултатите от извършения</w:t>
      </w:r>
      <w:r>
        <w:t xml:space="preserve"> </w:t>
      </w:r>
      <w:r w:rsidRPr="00316666">
        <w:t>през годината контрол.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(4) При несъответствие на параметрите, по които е определен размерът на таксата,</w:t>
      </w:r>
      <w:r>
        <w:t xml:space="preserve"> </w:t>
      </w:r>
      <w:r w:rsidRPr="00316666">
        <w:t>упълномощено от Кмета на общината лице извършва нарочна проверка за установяване на</w:t>
      </w:r>
    </w:p>
    <w:p w:rsidR="00E32E4B" w:rsidRPr="002E6AC0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обстоятелствата и определяне размера на дължимата такса. В проверката участват представители</w:t>
      </w:r>
      <w:r>
        <w:t xml:space="preserve"> </w:t>
      </w:r>
      <w:r w:rsidRPr="00316666">
        <w:t>на общинска администр</w:t>
      </w:r>
      <w:r>
        <w:t>ация- Рудозем</w:t>
      </w:r>
      <w:r w:rsidRPr="00316666">
        <w:t xml:space="preserve"> и </w:t>
      </w:r>
      <w:proofErr w:type="spellStart"/>
      <w:r w:rsidRPr="00316666">
        <w:t>титуляра</w:t>
      </w:r>
      <w:proofErr w:type="spellEnd"/>
      <w:r w:rsidRPr="00316666">
        <w:t xml:space="preserve"> на издаденото разрешително или</w:t>
      </w:r>
      <w:r>
        <w:t xml:space="preserve"> </w:t>
      </w:r>
      <w:r w:rsidRPr="00316666">
        <w:t>негов представител.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ГЛАВА ВТОРА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 xml:space="preserve">Изчисляване на таксата за </w:t>
      </w:r>
      <w:proofErr w:type="spellStart"/>
      <w:r w:rsidRPr="00316666">
        <w:rPr>
          <w:rFonts w:ascii="Times New Roman,Bold" w:hAnsi="Times New Roman,Bold" w:cs="Times New Roman,Bold"/>
          <w:b/>
          <w:bCs/>
        </w:rPr>
        <w:t>водовземане</w:t>
      </w:r>
      <w:proofErr w:type="spellEnd"/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6. Таксата за </w:t>
      </w:r>
      <w:proofErr w:type="spellStart"/>
      <w:r w:rsidRPr="00316666">
        <w:t>водовземане</w:t>
      </w:r>
      <w:proofErr w:type="spellEnd"/>
      <w:r w:rsidRPr="00316666">
        <w:t xml:space="preserve"> от минерални води се определя по следната формула: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Т = Е x W</w:t>
      </w:r>
      <w:r>
        <w:t xml:space="preserve"> </w:t>
      </w:r>
      <w:proofErr w:type="spellStart"/>
      <w:r w:rsidRPr="00316666">
        <w:t>разр</w:t>
      </w:r>
      <w:proofErr w:type="spellEnd"/>
      <w:r w:rsidRPr="00316666">
        <w:t>., където: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rPr>
          <w:rFonts w:ascii="Arial" w:hAnsi="Arial" w:cs="Arial"/>
        </w:rPr>
        <w:t xml:space="preserve">- </w:t>
      </w:r>
      <w:r w:rsidRPr="00316666">
        <w:t>Т – размер на дължимата годишна такса в лева;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rPr>
          <w:rFonts w:ascii="Arial" w:hAnsi="Arial" w:cs="Arial"/>
        </w:rPr>
        <w:t xml:space="preserve">- </w:t>
      </w:r>
      <w:r w:rsidRPr="00316666">
        <w:t>Е – единичен размер на таксата, в зависимост от целта, за която ще бъде ползвана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черпената вода, съгласно таблицата по чл. 7 в лв./ куб. м;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rPr>
          <w:rFonts w:ascii="Arial" w:hAnsi="Arial" w:cs="Arial"/>
        </w:rPr>
        <w:t xml:space="preserve">- </w:t>
      </w:r>
      <w:r w:rsidRPr="00316666">
        <w:t>W</w:t>
      </w:r>
      <w:r>
        <w:t xml:space="preserve"> </w:t>
      </w:r>
      <w:proofErr w:type="spellStart"/>
      <w:r w:rsidRPr="00316666">
        <w:t>разр</w:t>
      </w:r>
      <w:proofErr w:type="spellEnd"/>
      <w:r w:rsidRPr="00316666">
        <w:t>. – размер на разрешения годишен воден обем в куб. м.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7. Единичният размер на таксата за </w:t>
      </w:r>
      <w:proofErr w:type="spellStart"/>
      <w:r w:rsidRPr="00316666">
        <w:t>водовземане</w:t>
      </w:r>
      <w:proofErr w:type="spellEnd"/>
      <w:r w:rsidRPr="00316666">
        <w:t xml:space="preserve"> от минерални води се определя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съгласно следната таблица: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5"/>
        <w:gridCol w:w="6376"/>
        <w:gridCol w:w="2409"/>
      </w:tblGrid>
      <w:tr w:rsidR="00E32E4B" w:rsidTr="00791329">
        <w:tc>
          <w:tcPr>
            <w:tcW w:w="565" w:type="dxa"/>
          </w:tcPr>
          <w:p w:rsidR="00E32E4B" w:rsidRPr="00316666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№</w:t>
            </w:r>
          </w:p>
          <w:p w:rsidR="00E32E4B" w:rsidRPr="00316666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по</w:t>
            </w:r>
          </w:p>
          <w:p w:rsidR="00E32E4B" w:rsidRPr="00316666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ред</w:t>
            </w:r>
          </w:p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376" w:type="dxa"/>
          </w:tcPr>
          <w:p w:rsidR="00E32E4B" w:rsidRPr="00A049DE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049DE">
              <w:rPr>
                <w:b/>
              </w:rPr>
              <w:t>Цел на използване на минералната вода</w:t>
            </w:r>
          </w:p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E32E4B" w:rsidRPr="00A049DE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049DE">
              <w:rPr>
                <w:b/>
              </w:rPr>
              <w:t>Единичен размер на таксата в лв.</w:t>
            </w:r>
            <w:r>
              <w:rPr>
                <w:b/>
              </w:rPr>
              <w:t xml:space="preserve"> и евро</w:t>
            </w:r>
            <w:r w:rsidRPr="00A049DE">
              <w:rPr>
                <w:b/>
              </w:rPr>
              <w:t xml:space="preserve"> за </w:t>
            </w:r>
            <w:proofErr w:type="spellStart"/>
            <w:r w:rsidRPr="00A049DE">
              <w:rPr>
                <w:b/>
              </w:rPr>
              <w:t>куб.м</w:t>
            </w:r>
            <w:proofErr w:type="spellEnd"/>
            <w:r w:rsidRPr="00A049DE">
              <w:rPr>
                <w:b/>
              </w:rPr>
              <w:t xml:space="preserve"> минерална вода</w:t>
            </w:r>
          </w:p>
        </w:tc>
      </w:tr>
      <w:tr w:rsidR="00E32E4B" w:rsidTr="00791329">
        <w:tc>
          <w:tcPr>
            <w:tcW w:w="565" w:type="dxa"/>
          </w:tcPr>
          <w:p w:rsidR="00E32E4B" w:rsidRPr="00A049DE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049DE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376" w:type="dxa"/>
          </w:tcPr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Питейно-битово водоснабдяване</w:t>
            </w:r>
          </w:p>
        </w:tc>
        <w:tc>
          <w:tcPr>
            <w:tcW w:w="2409" w:type="dxa"/>
          </w:tcPr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1,30 лв./ 0,66 евро</w:t>
            </w:r>
          </w:p>
        </w:tc>
      </w:tr>
      <w:tr w:rsidR="00E32E4B" w:rsidTr="00791329">
        <w:tc>
          <w:tcPr>
            <w:tcW w:w="565" w:type="dxa"/>
          </w:tcPr>
          <w:p w:rsidR="00E32E4B" w:rsidRPr="00A049DE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049DE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376" w:type="dxa"/>
          </w:tcPr>
          <w:p w:rsidR="00E32E4B" w:rsidRPr="00316666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Лечебни цели в специализирани болници</w:t>
            </w:r>
          </w:p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за лечение и рехабилитация</w:t>
            </w:r>
          </w:p>
        </w:tc>
        <w:tc>
          <w:tcPr>
            <w:tcW w:w="2409" w:type="dxa"/>
          </w:tcPr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1,20 лв./0,61 евро</w:t>
            </w:r>
          </w:p>
        </w:tc>
      </w:tr>
      <w:tr w:rsidR="00E32E4B" w:rsidTr="00791329">
        <w:tc>
          <w:tcPr>
            <w:tcW w:w="565" w:type="dxa"/>
          </w:tcPr>
          <w:p w:rsidR="00E32E4B" w:rsidRPr="00A049DE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049DE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376" w:type="dxa"/>
          </w:tcPr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16666">
              <w:t>Всички други цели</w:t>
            </w:r>
          </w:p>
        </w:tc>
        <w:tc>
          <w:tcPr>
            <w:tcW w:w="2409" w:type="dxa"/>
          </w:tcPr>
          <w:p w:rsidR="00E32E4B" w:rsidRDefault="00E32E4B" w:rsidP="00E32E4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2,60 лв./ 1,32 евро</w:t>
            </w:r>
          </w:p>
        </w:tc>
      </w:tr>
    </w:tbl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Чл. 8. (1) В случаите, в които не са монтирани водомерни устройства за разделно</w:t>
      </w:r>
      <w:r>
        <w:t xml:space="preserve"> </w:t>
      </w:r>
      <w:r w:rsidRPr="00316666">
        <w:t>измерване на използваните води или водопроводните инсталации на захранвания обект не</w:t>
      </w:r>
      <w:r>
        <w:t xml:space="preserve"> </w:t>
      </w:r>
      <w:r w:rsidRPr="00316666">
        <w:t>осигуряват разделно захранване по видове цели или при техническа невъзможност за монтиране,</w:t>
      </w:r>
      <w:r>
        <w:t xml:space="preserve"> </w:t>
      </w:r>
      <w:r w:rsidRPr="00316666">
        <w:t xml:space="preserve">поддръжка и контрол на измервателни устройства за </w:t>
      </w:r>
      <w:proofErr w:type="spellStart"/>
      <w:r w:rsidRPr="00316666">
        <w:t>водовземане</w:t>
      </w:r>
      <w:proofErr w:type="spellEnd"/>
      <w:r w:rsidRPr="00316666">
        <w:t xml:space="preserve"> на минерални води, за които се</w:t>
      </w:r>
      <w:r>
        <w:t xml:space="preserve"> </w:t>
      </w:r>
      <w:r w:rsidRPr="00316666">
        <w:t>дължат такси с различен размер, таксата за общото използвано количество се изчислява на базата</w:t>
      </w:r>
      <w:r>
        <w:t xml:space="preserve"> </w:t>
      </w:r>
      <w:r w:rsidRPr="00316666">
        <w:t xml:space="preserve">на най-високата стойност по Тарифата за разрешеното </w:t>
      </w:r>
      <w:proofErr w:type="spellStart"/>
      <w:r w:rsidRPr="00316666">
        <w:t>водовземане</w:t>
      </w:r>
      <w:proofErr w:type="spellEnd"/>
      <w:r w:rsidRPr="00316666">
        <w:t>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(2) В случаите на получено уведомление от </w:t>
      </w:r>
      <w:proofErr w:type="spellStart"/>
      <w:r w:rsidRPr="00316666">
        <w:t>титуляра</w:t>
      </w:r>
      <w:proofErr w:type="spellEnd"/>
      <w:r w:rsidRPr="00316666">
        <w:t xml:space="preserve"> на разрешителното за повреда или</w:t>
      </w:r>
      <w:r>
        <w:t xml:space="preserve"> </w:t>
      </w:r>
      <w:r w:rsidRPr="00316666">
        <w:t xml:space="preserve">установяване на неработещо или </w:t>
      </w:r>
      <w:proofErr w:type="spellStart"/>
      <w:r w:rsidRPr="00316666">
        <w:t>несертифицирано</w:t>
      </w:r>
      <w:proofErr w:type="spellEnd"/>
      <w:r w:rsidRPr="00316666">
        <w:t xml:space="preserve"> измервателно устройство, за изчисляване на</w:t>
      </w:r>
      <w:r>
        <w:t xml:space="preserve"> </w:t>
      </w:r>
      <w:r w:rsidRPr="00316666">
        <w:t xml:space="preserve">таксата за </w:t>
      </w:r>
      <w:proofErr w:type="spellStart"/>
      <w:r w:rsidRPr="00316666">
        <w:t>водовземане</w:t>
      </w:r>
      <w:proofErr w:type="spellEnd"/>
      <w:r w:rsidRPr="00316666">
        <w:t xml:space="preserve"> през този период се вземат разрешените в разрешителното количества.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Чл. 9. (1) В случаите, когато годишното ползване е над разрешения годишен обем,</w:t>
      </w:r>
      <w:r>
        <w:t xml:space="preserve"> </w:t>
      </w:r>
      <w:r w:rsidRPr="00316666">
        <w:t xml:space="preserve">титулярите на разрешителните доплащат </w:t>
      </w:r>
      <w:proofErr w:type="spellStart"/>
      <w:r w:rsidRPr="00316666">
        <w:t>надвишението</w:t>
      </w:r>
      <w:proofErr w:type="spellEnd"/>
      <w:r w:rsidRPr="00316666">
        <w:t xml:space="preserve"> в срока по чл. 11, ал. 1, по стойността на</w:t>
      </w:r>
      <w:r>
        <w:t xml:space="preserve"> </w:t>
      </w:r>
      <w:r w:rsidRPr="00316666">
        <w:t>таксата, съгласно параметрите в разрешителното при приложение на чл.</w:t>
      </w:r>
      <w:r>
        <w:t xml:space="preserve"> </w:t>
      </w:r>
      <w:r w:rsidRPr="00316666">
        <w:t xml:space="preserve">7 </w:t>
      </w:r>
      <w:r w:rsidR="009E6830">
        <w:t xml:space="preserve"> </w:t>
      </w:r>
      <w:r w:rsidRPr="00316666">
        <w:t>от настоящата Тарифа.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(2) Когато годишното ползване е над разрешения годишен обем, съгласно издаденото</w:t>
      </w:r>
      <w:r>
        <w:t xml:space="preserve"> </w:t>
      </w:r>
      <w:r w:rsidRPr="00316666">
        <w:t>разрешително, независимо от дължимото плащане по предходната алинея, титулярите на</w:t>
      </w:r>
      <w:r>
        <w:t xml:space="preserve"> </w:t>
      </w:r>
      <w:r w:rsidRPr="00316666">
        <w:t xml:space="preserve">разрешителното носят </w:t>
      </w:r>
      <w:proofErr w:type="spellStart"/>
      <w:r w:rsidRPr="00316666">
        <w:t>административнонаказателна</w:t>
      </w:r>
      <w:proofErr w:type="spellEnd"/>
      <w:r w:rsidRPr="00316666">
        <w:t xml:space="preserve"> отговорност, съгласно Глава дванадесета</w:t>
      </w:r>
      <w:r>
        <w:t xml:space="preserve">, </w:t>
      </w:r>
      <w:proofErr w:type="spellStart"/>
      <w:r w:rsidRPr="00316666">
        <w:t>Административнонаказателна</w:t>
      </w:r>
      <w:proofErr w:type="spellEnd"/>
      <w:r w:rsidRPr="00316666">
        <w:t xml:space="preserve"> и гражданска отговорност от Закон за водите.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(3) Прекратяване действието на разрешителното при изрично заявен отказ от титуляря на</w:t>
      </w:r>
      <w:r>
        <w:t xml:space="preserve"> </w:t>
      </w:r>
      <w:r w:rsidRPr="00316666">
        <w:t>разрешителното се извършва след плащане на дължимите такси по настоящата тарифа.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Чл. 10. При промяна на размера на таксите в настоящата Тарифа, с решение на Общинския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съвет, се коригират таксите по издадените до момента на промяната разрешителни, а в случай на</w:t>
      </w:r>
      <w:r>
        <w:t xml:space="preserve"> </w:t>
      </w:r>
      <w:r w:rsidRPr="00316666">
        <w:t xml:space="preserve">несъгласие на </w:t>
      </w:r>
      <w:proofErr w:type="spellStart"/>
      <w:r w:rsidRPr="00316666">
        <w:t>титуляра</w:t>
      </w:r>
      <w:proofErr w:type="spellEnd"/>
      <w:r w:rsidRPr="00316666">
        <w:t xml:space="preserve"> – разрешителното се прекратява.</w:t>
      </w:r>
    </w:p>
    <w:p w:rsidR="00444523" w:rsidRDefault="00444523" w:rsidP="00E32E4B">
      <w:pPr>
        <w:autoSpaceDE w:val="0"/>
        <w:autoSpaceDN w:val="0"/>
        <w:adjustRightInd w:val="0"/>
        <w:spacing w:line="360" w:lineRule="auto"/>
        <w:jc w:val="both"/>
      </w:pPr>
    </w:p>
    <w:p w:rsidR="00444523" w:rsidRDefault="00444523" w:rsidP="00E32E4B">
      <w:pPr>
        <w:autoSpaceDE w:val="0"/>
        <w:autoSpaceDN w:val="0"/>
        <w:adjustRightInd w:val="0"/>
        <w:spacing w:line="360" w:lineRule="auto"/>
        <w:jc w:val="both"/>
      </w:pPr>
    </w:p>
    <w:p w:rsidR="00444523" w:rsidRPr="00E32E4B" w:rsidRDefault="00444523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ГЛАВА ТРЕТА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Заплащане на таксите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Чл. 11. (1) Таксите за </w:t>
      </w:r>
      <w:proofErr w:type="spellStart"/>
      <w:r w:rsidRPr="00316666">
        <w:t>водовземане</w:t>
      </w:r>
      <w:proofErr w:type="spellEnd"/>
      <w:r w:rsidRPr="00316666">
        <w:t xml:space="preserve"> са годишни и се заплащат от титулярите на</w:t>
      </w:r>
      <w:r>
        <w:t xml:space="preserve"> </w:t>
      </w:r>
      <w:r w:rsidRPr="00316666">
        <w:t xml:space="preserve">разрешителни не по-късно от 15-ти февруари на следващата година на касата на община </w:t>
      </w:r>
      <w:r>
        <w:t xml:space="preserve">Рудозем </w:t>
      </w:r>
      <w:r w:rsidRPr="00316666">
        <w:t xml:space="preserve">или по банковата сметка на общината, публикувана на интернет страницата на община </w:t>
      </w:r>
      <w:r>
        <w:t>Рудозем</w:t>
      </w:r>
      <w:r w:rsidRPr="00316666">
        <w:t>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(2) В платежните документи за превода на сумите по съответната банкова сметка, освен</w:t>
      </w:r>
      <w:r>
        <w:t xml:space="preserve"> </w:t>
      </w:r>
      <w:r w:rsidRPr="00316666">
        <w:t>задължителните реквизити, в основание за плащане задължително се изписва номера на</w:t>
      </w:r>
      <w:r>
        <w:t xml:space="preserve"> </w:t>
      </w:r>
      <w:r w:rsidRPr="00316666">
        <w:t>разрешителното и периода, за който се внася таксата.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(3) Таксата за първата и последната година на </w:t>
      </w:r>
      <w:proofErr w:type="spellStart"/>
      <w:r w:rsidRPr="00316666">
        <w:t>водовземането</w:t>
      </w:r>
      <w:proofErr w:type="spellEnd"/>
      <w:r w:rsidRPr="00316666">
        <w:t xml:space="preserve"> се изчислява</w:t>
      </w:r>
      <w:r>
        <w:t xml:space="preserve"> </w:t>
      </w:r>
      <w:r w:rsidRPr="00316666">
        <w:t>пропорционално за месеците, за които е ползвана минералната вода.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Чл. 12. Лицата, които са заявили издаване на разрешително и титулярите на заварените</w:t>
      </w:r>
      <w:r>
        <w:t xml:space="preserve"> </w:t>
      </w:r>
      <w:r w:rsidRPr="00316666">
        <w:t>действащи разрешителни заплащат дължимите такси независимо от етапа, на който се намира</w:t>
      </w:r>
      <w:r>
        <w:t xml:space="preserve"> </w:t>
      </w:r>
      <w:r w:rsidRPr="00316666">
        <w:t>процедурата за изменение, продължаване на срока или преиздаване на разрешителното.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ГЛАВА ЧЕТВЪРТА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 xml:space="preserve">Такси за издаване на разрешителни за </w:t>
      </w:r>
      <w:proofErr w:type="spellStart"/>
      <w:r w:rsidRPr="00316666">
        <w:rPr>
          <w:rFonts w:ascii="Times New Roman,Bold" w:hAnsi="Times New Roman,Bold" w:cs="Times New Roman,Bold"/>
          <w:b/>
          <w:bCs/>
        </w:rPr>
        <w:t>водовземане</w:t>
      </w:r>
      <w:proofErr w:type="spellEnd"/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Чл. 13</w:t>
      </w:r>
      <w:r w:rsidR="00A27FA4">
        <w:t>.</w:t>
      </w:r>
      <w:r w:rsidRPr="00316666">
        <w:t xml:space="preserve"> (1) Таксата за издаване на разреш</w:t>
      </w:r>
      <w:r>
        <w:t xml:space="preserve">ително за </w:t>
      </w:r>
      <w:proofErr w:type="spellStart"/>
      <w:r>
        <w:t>водовземане</w:t>
      </w:r>
      <w:proofErr w:type="spellEnd"/>
      <w:r>
        <w:t xml:space="preserve"> е 250 лв</w:t>
      </w:r>
      <w:r w:rsidRPr="00316666">
        <w:t>.</w:t>
      </w:r>
      <w:r>
        <w:t>/127, 82 евро.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(2) Таксата за изменение или/и допълнение на разрешителното за </w:t>
      </w:r>
      <w:proofErr w:type="spellStart"/>
      <w:r w:rsidRPr="00316666">
        <w:t>водовземане</w:t>
      </w:r>
      <w:proofErr w:type="spellEnd"/>
      <w:r w:rsidRPr="00316666">
        <w:t xml:space="preserve"> е </w:t>
      </w:r>
      <w:r>
        <w:t xml:space="preserve">             </w:t>
      </w:r>
      <w:r w:rsidR="00444523">
        <w:t xml:space="preserve">        </w:t>
      </w:r>
      <w:r w:rsidRPr="00316666">
        <w:t>130</w:t>
      </w:r>
      <w:r>
        <w:t xml:space="preserve"> лв</w:t>
      </w:r>
      <w:r w:rsidRPr="00316666">
        <w:t>.</w:t>
      </w:r>
      <w:r>
        <w:t>/66,46 евро.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 xml:space="preserve">(3) Таксата за продължаване на срока на действащо разрешително за </w:t>
      </w:r>
      <w:proofErr w:type="spellStart"/>
      <w:r w:rsidRPr="00316666">
        <w:t>водовземане</w:t>
      </w:r>
      <w:proofErr w:type="spellEnd"/>
      <w:r w:rsidRPr="00316666">
        <w:t xml:space="preserve"> е </w:t>
      </w:r>
      <w:r>
        <w:t xml:space="preserve">              </w:t>
      </w:r>
      <w:r w:rsidRPr="00316666">
        <w:t>100</w:t>
      </w:r>
      <w:r>
        <w:t xml:space="preserve"> лв</w:t>
      </w:r>
      <w:r w:rsidRPr="00316666">
        <w:t>.</w:t>
      </w:r>
      <w:r>
        <w:t>/51,12 евро.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ДОПЪЛНИТЕЛНИ РАЗПОРЕДБИ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§ 1. По смисъла на тарифата целите на ползване на водата са: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1. „</w:t>
      </w:r>
      <w:r>
        <w:t xml:space="preserve"> </w:t>
      </w:r>
      <w:r w:rsidRPr="00316666">
        <w:t>Питейно-битово водоснабдяване</w:t>
      </w:r>
      <w:r>
        <w:t xml:space="preserve"> </w:t>
      </w:r>
      <w:r w:rsidRPr="00316666">
        <w:t>” – когато отнетата вода се използва за пиене, приготвяне</w:t>
      </w:r>
      <w:r>
        <w:t xml:space="preserve"> </w:t>
      </w:r>
      <w:r w:rsidRPr="00316666">
        <w:t>на храна и други битови цели или за производство на хранителни, лекарствени или козметични</w:t>
      </w:r>
      <w:r>
        <w:t xml:space="preserve"> </w:t>
      </w:r>
      <w:r w:rsidRPr="00316666">
        <w:t>продукти или вещества, предназначени за консумация от човека, в случай че качеството на</w:t>
      </w:r>
      <w:r>
        <w:t xml:space="preserve"> </w:t>
      </w:r>
      <w:r w:rsidRPr="00316666">
        <w:t>водата може да окаже влияние върху качеството на крайните продукти;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2.</w:t>
      </w:r>
      <w:r>
        <w:t xml:space="preserve"> </w:t>
      </w:r>
      <w:r w:rsidRPr="00316666">
        <w:t>„Водоползване за лечебни цели</w:t>
      </w:r>
      <w:r>
        <w:t xml:space="preserve"> </w:t>
      </w:r>
      <w:r w:rsidRPr="00316666">
        <w:t>” – водоползване, когато минералните води се ползват в</w:t>
      </w:r>
      <w:r>
        <w:t xml:space="preserve"> </w:t>
      </w:r>
      <w:r w:rsidRPr="00316666">
        <w:t>заведение, регистрирано по Закона за лечебните заведения или в обект към такова заведение.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3.</w:t>
      </w:r>
      <w:r>
        <w:t xml:space="preserve"> </w:t>
      </w:r>
      <w:r w:rsidRPr="00316666">
        <w:t>„</w:t>
      </w:r>
      <w:r>
        <w:t xml:space="preserve"> </w:t>
      </w:r>
      <w:r w:rsidRPr="00316666">
        <w:t>Други цели</w:t>
      </w:r>
      <w:r>
        <w:t xml:space="preserve"> </w:t>
      </w:r>
      <w:r w:rsidRPr="00316666">
        <w:t>” – когато черпената вода се използва за всички други цели извън изрично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посочените в т.1 и т.2 по-горе две цели и за осигуряване и поддържане на противопожарен</w:t>
      </w: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316666">
        <w:t>резерв. В „други цели“ не се включват целите, за които Закона за водите предвижда</w:t>
      </w:r>
      <w:r>
        <w:t xml:space="preserve"> </w:t>
      </w:r>
      <w:r w:rsidRPr="00316666">
        <w:t>концесионен режим – бутилиране на натурална минерална вода и/или газирани и други</w:t>
      </w:r>
      <w:r>
        <w:t xml:space="preserve"> </w:t>
      </w:r>
      <w:r w:rsidRPr="00316666">
        <w:t>напитки, в състава на които се включва минерална вода, или извличане на ценни продукти от</w:t>
      </w:r>
      <w:r>
        <w:t xml:space="preserve"> </w:t>
      </w:r>
      <w:r w:rsidRPr="00316666">
        <w:t>минералната вода.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</w:p>
    <w:p w:rsidR="00E32E4B" w:rsidRDefault="00E32E4B" w:rsidP="00E32E4B">
      <w:pPr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</w:rPr>
      </w:pPr>
      <w:r w:rsidRPr="00316666">
        <w:rPr>
          <w:rFonts w:ascii="Times New Roman,Bold" w:hAnsi="Times New Roman,Bold" w:cs="Times New Roman,Bold"/>
          <w:b/>
          <w:bCs/>
        </w:rPr>
        <w:t>ПРЕХОДНИ И ЗАКЛЮЧИТЕЛНИ РАЗПОРЕДБИ</w:t>
      </w: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E32E4B" w:rsidRPr="00316666" w:rsidRDefault="00E32E4B" w:rsidP="00E32E4B">
      <w:pPr>
        <w:autoSpaceDE w:val="0"/>
        <w:autoSpaceDN w:val="0"/>
        <w:adjustRightInd w:val="0"/>
        <w:spacing w:line="360" w:lineRule="auto"/>
        <w:jc w:val="both"/>
      </w:pPr>
      <w:r w:rsidRPr="00FA0AE7">
        <w:t xml:space="preserve">§ 2. </w:t>
      </w:r>
      <w:r w:rsidRPr="00FA0AE7">
        <w:rPr>
          <w:bCs/>
        </w:rPr>
        <w:t>ТАРИФА ЗА ТАКСИТЕ ЗА ВОДОВЗЕМАНЕ НА МИНЕРАЛНА ВОДА ОТ ПЕС-1ХГ „РУДОЗЕМ“, ГР. РУДОЗЕМ, ОБЛ. СМОЛЯН</w:t>
      </w:r>
      <w:r>
        <w:t xml:space="preserve"> е </w:t>
      </w:r>
      <w:r w:rsidRPr="00316666">
        <w:t>приета</w:t>
      </w:r>
      <w:r>
        <w:t xml:space="preserve"> на основание  </w:t>
      </w:r>
      <w:r w:rsidRPr="00AF3E40">
        <w:rPr>
          <w:color w:val="000000"/>
          <w:lang w:bidi="bg-BG"/>
        </w:rPr>
        <w:t>§</w:t>
      </w:r>
      <w:r>
        <w:rPr>
          <w:color w:val="000000"/>
          <w:lang w:bidi="bg-BG"/>
        </w:rPr>
        <w:t xml:space="preserve"> </w:t>
      </w:r>
      <w:r w:rsidRPr="00AF3E40">
        <w:rPr>
          <w:color w:val="000000"/>
          <w:lang w:bidi="bg-BG"/>
        </w:rPr>
        <w:t>133</w:t>
      </w:r>
      <w:r>
        <w:rPr>
          <w:color w:val="000000"/>
          <w:lang w:bidi="bg-BG"/>
        </w:rPr>
        <w:t>,</w:t>
      </w:r>
      <w:r w:rsidRPr="00AF3E40">
        <w:rPr>
          <w:color w:val="000000"/>
          <w:lang w:bidi="bg-BG"/>
        </w:rPr>
        <w:t xml:space="preserve"> ал.9, т.1, б. „в“ от Преходните</w:t>
      </w:r>
      <w:r>
        <w:rPr>
          <w:color w:val="000000"/>
          <w:lang w:bidi="bg-BG"/>
        </w:rPr>
        <w:t xml:space="preserve"> </w:t>
      </w:r>
      <w:r w:rsidRPr="00FA0AE7">
        <w:rPr>
          <w:color w:val="000000"/>
          <w:lang w:bidi="bg-BG"/>
        </w:rPr>
        <w:t>и</w:t>
      </w:r>
      <w:r w:rsidRPr="00AF3E40">
        <w:rPr>
          <w:color w:val="000000"/>
          <w:lang w:bidi="bg-BG"/>
        </w:rPr>
        <w:t xml:space="preserve"> заключителните разпоредби (ДВ, бр.61/2010 г.) на Закона за водите</w:t>
      </w:r>
      <w:r w:rsidRPr="00316666">
        <w:t>.</w:t>
      </w:r>
    </w:p>
    <w:p w:rsidR="00AA7379" w:rsidRDefault="00AA7379" w:rsidP="00E81F33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084593" w:rsidRDefault="00E81F33" w:rsidP="00131B86">
      <w:pPr>
        <w:spacing w:line="360" w:lineRule="auto"/>
        <w:jc w:val="both"/>
      </w:pPr>
      <w:r w:rsidRPr="006D6E54">
        <w:rPr>
          <w:b/>
        </w:rPr>
        <w:t xml:space="preserve"> </w:t>
      </w:r>
    </w:p>
    <w:p w:rsidR="008E4389" w:rsidRDefault="008E4389" w:rsidP="008E4389">
      <w:pPr>
        <w:pStyle w:val="Default"/>
        <w:spacing w:line="360" w:lineRule="auto"/>
        <w:ind w:left="540"/>
        <w:jc w:val="both"/>
      </w:pPr>
    </w:p>
    <w:p w:rsidR="00D906AB" w:rsidRPr="00646070" w:rsidRDefault="00D906AB" w:rsidP="00D906AB">
      <w:pPr>
        <w:pStyle w:val="Default"/>
        <w:ind w:left="540"/>
        <w:jc w:val="both"/>
        <w:rPr>
          <w:sz w:val="16"/>
          <w:szCs w:val="16"/>
        </w:rPr>
      </w:pPr>
    </w:p>
    <w:p w:rsidR="003933E6" w:rsidRPr="00131B86" w:rsidRDefault="00D906AB" w:rsidP="00D906AB">
      <w:pPr>
        <w:pStyle w:val="af3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12010A" w:rsidP="008F7DE4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50" w:rsidRDefault="00AA6550">
      <w:r>
        <w:separator/>
      </w:r>
    </w:p>
  </w:endnote>
  <w:endnote w:type="continuationSeparator" w:id="0">
    <w:p w:rsidR="00AA6550" w:rsidRDefault="00AA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50" w:rsidRDefault="00AA6550">
      <w:r>
        <w:separator/>
      </w:r>
    </w:p>
  </w:footnote>
  <w:footnote w:type="continuationSeparator" w:id="0">
    <w:p w:rsidR="00AA6550" w:rsidRDefault="00AA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106617"/>
    <w:rsid w:val="0012010A"/>
    <w:rsid w:val="00120F3C"/>
    <w:rsid w:val="00131B86"/>
    <w:rsid w:val="001423D6"/>
    <w:rsid w:val="0019663C"/>
    <w:rsid w:val="001B0CDC"/>
    <w:rsid w:val="001C1D1D"/>
    <w:rsid w:val="00205F2C"/>
    <w:rsid w:val="002448C3"/>
    <w:rsid w:val="002C6406"/>
    <w:rsid w:val="003326B5"/>
    <w:rsid w:val="00346B98"/>
    <w:rsid w:val="003933E6"/>
    <w:rsid w:val="00424E0A"/>
    <w:rsid w:val="00444523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52881"/>
    <w:rsid w:val="00893703"/>
    <w:rsid w:val="008B1AA0"/>
    <w:rsid w:val="008D2D71"/>
    <w:rsid w:val="008E00FE"/>
    <w:rsid w:val="008E4389"/>
    <w:rsid w:val="008F7DE4"/>
    <w:rsid w:val="009120AD"/>
    <w:rsid w:val="00926EBB"/>
    <w:rsid w:val="0093231D"/>
    <w:rsid w:val="0093364D"/>
    <w:rsid w:val="00941BA7"/>
    <w:rsid w:val="00962D5F"/>
    <w:rsid w:val="00992D96"/>
    <w:rsid w:val="009B2C8D"/>
    <w:rsid w:val="009C1C08"/>
    <w:rsid w:val="009C67DB"/>
    <w:rsid w:val="009E6830"/>
    <w:rsid w:val="00A20733"/>
    <w:rsid w:val="00A24EFA"/>
    <w:rsid w:val="00A27FA4"/>
    <w:rsid w:val="00AA6550"/>
    <w:rsid w:val="00AA7379"/>
    <w:rsid w:val="00AD6BDF"/>
    <w:rsid w:val="00AE7A7E"/>
    <w:rsid w:val="00B75CE3"/>
    <w:rsid w:val="00BA2F19"/>
    <w:rsid w:val="00C54F85"/>
    <w:rsid w:val="00C63FFD"/>
    <w:rsid w:val="00C659CD"/>
    <w:rsid w:val="00C86EDD"/>
    <w:rsid w:val="00D05280"/>
    <w:rsid w:val="00D14A5F"/>
    <w:rsid w:val="00D47972"/>
    <w:rsid w:val="00D850B4"/>
    <w:rsid w:val="00D906AB"/>
    <w:rsid w:val="00DA015B"/>
    <w:rsid w:val="00DA6C8B"/>
    <w:rsid w:val="00DB507F"/>
    <w:rsid w:val="00E15B11"/>
    <w:rsid w:val="00E32E4B"/>
    <w:rsid w:val="00E41554"/>
    <w:rsid w:val="00E678CA"/>
    <w:rsid w:val="00E7790C"/>
    <w:rsid w:val="00E81F33"/>
    <w:rsid w:val="00EA2E4E"/>
    <w:rsid w:val="00EB1B19"/>
    <w:rsid w:val="00EB6205"/>
    <w:rsid w:val="00ED7919"/>
    <w:rsid w:val="00F23791"/>
    <w:rsid w:val="00F46419"/>
    <w:rsid w:val="00F5776F"/>
    <w:rsid w:val="00F924FE"/>
    <w:rsid w:val="00F94335"/>
    <w:rsid w:val="00FB3546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0F8E38C"/>
  <w15:docId w15:val="{ED1EC6D1-F761-4810-9E5B-B44419B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+iUq+OJqLPx6bQl+yJflxFtSkjZIv12TcQQYHMGNTeE=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U+a9eNvSSFtpmdKeizTKb4sntqucbmvlQ31b5Tn3f/A=</DigestValue>
    </Reference>
    <Reference Type="http://www.w3.org/2000/09/xmldsig#Object" URI="#idValidSigLnImg">
      <DigestMethod Algorithm="http://www.w3.org/2001/04/xmlenc#sha256"/>
      <DigestValue>vl3hTfkeI1hZUaq2XgtAIB6C+xNg3oiv0QrSMXMrQKo=</DigestValue>
    </Reference>
    <Reference Type="http://www.w3.org/2000/09/xmldsig#Object" URI="#idInvalidSigLnImg">
      <DigestMethod Algorithm="http://www.w3.org/2001/04/xmlenc#sha256"/>
      <DigestValue>pd5Elu6VJcdPEIvdb7inJYHF4YDjZBOeNijd18xo4gk=</DigestValue>
    </Reference>
  </SignedInfo>
  <SignatureValue>I1aF86xGSl2vmm+hY5TB1Ivu57ZEFhYrddiRm5cj8x1KugamcGY1aQITQkNbbZKMXXspQ/6p0ui9
AtMnDfywTZqwj8etbIww2/eAeFkn9pkpfO5LFoBYlquKRRWAMyJHUKukQ6Cim5+f33YPOfZb3Mag
OwAYnNBjSW1gX4cxQQmkbvTQdEfyxfD7fFRT3a9eYvUlOp5SITb9Z218bOmbmH3rWc4nPMbbd//2
ZPM7yGXlKCrQcJP3P9VArwlg6qLRWNKAuXxPnh4UNb4Tzrfpui5n+34XZnxEO4bbfYRLXYAkjg6I
TbTO80sx2slYxsH9GvzCb1sEdIvPIkmij2oa2A==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sBIeYDLYLMuwG9dwKuD/+gl86Qd0HFQPYRLyOOTi+gQ=</DigestValue>
      </Reference>
      <Reference URI="/word/endnotes.xml?ContentType=application/vnd.openxmlformats-officedocument.wordprocessingml.endnotes+xml">
        <DigestMethod Algorithm="http://www.w3.org/2001/04/xmlenc#sha256"/>
        <DigestValue>PMboY6pa7zxwEvgN+yqeYUnirfD0NWzgfi4WYgtZybY=</DigestValue>
      </Reference>
      <Reference URI="/word/fontTable.xml?ContentType=application/vnd.openxmlformats-officedocument.wordprocessingml.fontTable+xml">
        <DigestMethod Algorithm="http://www.w3.org/2001/04/xmlenc#sha256"/>
        <DigestValue>204dOs49+QyXir4fapP5WFbg5Xxn8WmByZxfe7WCXt4=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6qov2O7bL3mYeyHQs/hqRfE2NOSojkeLru3NcHWS+L4=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9afRiVhDaqyTacG0nFZaf4OpE25O4ZDW+nSIz0vHPBI=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7KL/qOw5nfVu43qse/n6ImqmpkF6mGTQrwkOXNiRlCU=</DigestValue>
      </Reference>
      <Reference URI="/word/settings.xml?ContentType=application/vnd.openxmlformats-officedocument.wordprocessingml.settings+xml">
        <DigestMethod Algorithm="http://www.w3.org/2001/04/xmlenc#sha256"/>
        <DigestValue>5F7xvhb2kYVi4OUIxk8swAtSXuIrzJ5OoWRwY/DNfyY=</DigestValue>
      </Reference>
      <Reference URI="/word/styles.xml?ContentType=application/vnd.openxmlformats-officedocument.wordprocessingml.styles+xml">
        <DigestMethod Algorithm="http://www.w3.org/2001/04/xmlenc#sha256"/>
        <DigestValue>2ykSf6P9B3nJp2gqBYbsnmZN3T5CtyJSqDmo7mPcOUg=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ykVD5hNRoRdsMDLz+TPUVS5+GUa4Rw/LiC3tx9hs+Gg=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2025-04-22T08:30:40Z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2025-04-22T08:30:40Z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CYHhPJGPIAANNnxwn8fwAASAAAAAoCAAAAAAAAAAAAABD2Nc4KAgAA2KMPVAAAAAD1////AAAAAAkAAAAAAAAAAAAAAAAAAAD8og9UtQAAAFCjD1S1AAAAwR8pUPx/AAAAAAAAAAAAAAAAAAAAAAAAEPY1zgoCAADYow9UtQAAABD2Nc4KAgAA29csUPx/AACgog9UtQAAAFCjD1S1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ODG68IKAgAAAAAAAAAAAAAAAAAAAAAAAAAAAAAAAAAAqGETyRjyAAAAAAAA/H8AAFDjD1S1AAAAAAAAAAAAAAAQ9jXOCgIAAJDkD1QAAAAAcLor0QoCAAAHAAAAAAAAALBVOM4KAgAAzOMPVLUAAAAg5A9UtQAAAMEfKVD8fwAAUOMPVLUAAACRLLhSAAAAAGRCwAn8fwAAsSu4Uvx/AAAQ9jXOCgIAANvXLFD8fwAAcOMPVLUAAAAg5A9Ut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EIR0QoCAAAQ6LoJ/H8AACB10soKAgAAyF5SUPx/AAAAAAAAAAAAAAGn8gn8fwAAAgAAAAAAAAACAAAAAAAAAAAAAAAAAAAAAAAAAAAAAAAI/hPJGPIAAHDNN84KAgAA4Ocq0QoCAAAAAAAAAAAAABD2Nc4KAgAASIMPVAAAAADg////AAAAAAYAAAAAAAAAAwAAAAAAAABsgg9UtQAAAMCCD1S1AAAAwR8pUPx/AAAAAAAAAAAAAKDnbVAAAAAAAAAAAAAAAAD/oMIJ/H8AABD2Nc4KAgAA29csUPx/AAAQgg9UtQAAAMCCD1S1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pxAoCAAAAAAAAAAAAAAoAAAAAAAAAEBm4Uvx/AAAAAAAAAAAAAAAAAAAAAAAAAAAAAAAAAAAAAAAAAAAAAAR2D1S1AAAAoAZuUPx/AABsRKcC9D4AAABorFH8fwAAEHYB0QoCAAAjmCQiAAAAAMwAAAAAAAAApgi5Cfx/AAAzBAAAAAAAAHC6K9EKAgAAyODpXiW52wEAAAAAAAAAAAwAAAAAAAAA0Qe5CQAAAAABAAAAAAAAAGDz88IKAgAAAAAAAAAAAADb1yxQ/H8AAPB0D1S1AAAAZAAAAAAAAAAIAMPNC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mB4TyRjyAADTZ8cJ/H8AAEgAAAAKAgAAAAAAAAAAAAAQ9jXOCgIAANijD1QAAAAA9f///wAAAAAJAAAAAAAAAAAAAAAAAAAA/KIPVLUAAABQow9UtQAAAMEfKVD8fwAAAAAAAAAAAAAAAAAAAAAAABD2Nc4KAgAA2KMPVLUAAAAQ9jXOCgIAANvXLFD8fwAAoKIPVLUAAABQow9Ut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DgxuvCCgIAAAAAAAAAAAAAAAAAAAAAAAAAAAAAAAAAAKhhE8kY8gAAAAAAAPx/AABQ4w9UtQAAAAAAAAAAAAAAEPY1zgoCAACQ5A9UAAAAAHC6K9EKAgAABwAAAAAAAACwVTjOCgIAAMzjD1S1AAAAIOQPVLUAAADBHylQ/H8AAFDjD1S1AAAAkSy4UgAAAABkQsAJ/H8AALEruFL8fwAAEPY1zgoCAADb1yxQ/H8AAHDjD1S1AAAAIOQPVL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BCEdEKAgAAEOi6Cfx/AAAgddLKCgIAAMheUlD8fwAAAAAAAAAAAAABp/IJ/H8AAAIAAAAAAAAAAgAAAAAAAAAAAAAAAAAAAAAAAAAAAAAACP4TyRjyAABwzTfOCgIAAODnKtEKAgAAAAAAAAAAAAAQ9jXOCgIAAEiDD1QAAAAA4P///wAAAAAGAAAAAAAAAAMAAAAAAAAAbIIPVLUAAADAgg9UtQAAAMEfKVD8fwAAAAAAAAAAAACg521QAAAAAAAAAAAAAAAA/6DCCfx/AAAQ9jXOCgIAANvXLFD8fwAAEIIPVLUAAADAgg9Ut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dYKAgAA/3//f/9//39Ue6AwAQAiBBAZuFL8fwAAAAAAAP9//3+ANOfCCgIAAAAAywA+S/9/AADnwgoCAADQAufCCgIAAP9/un8gRQMAbESnAvQ+AABQDefCCgIAABB2AdEKAgAAI5gkIgAAAADMAAAAAAAAAKYIuQn8fwAAQQQAAAAAAABwuivRCgIAAMjg6V4ludsBAAAAAAAAAAAQAAAAAAAAANEHuQkAAAAAAQAAAAAAAABg8/PCCgIAAAAAAAAAAAAA29csUPx/AADwdA9UtQAAAGQAAAAAAAAACABj2Qo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882C-B0B4-4373-AE1A-A6E25DF8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14</cp:revision>
  <cp:lastPrinted>2020-03-19T14:57:00Z</cp:lastPrinted>
  <dcterms:created xsi:type="dcterms:W3CDTF">2025-04-17T08:09:00Z</dcterms:created>
  <dcterms:modified xsi:type="dcterms:W3CDTF">2025-04-22T12:20:00Z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